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10E0" w14:textId="77777777" w:rsidR="006E5326" w:rsidRPr="008A10C0" w:rsidRDefault="006E5326" w:rsidP="006E5326">
      <w:pPr>
        <w:rPr>
          <w:rFonts w:ascii="Cambria" w:hAnsi="Cambria" w:cstheme="minorHAnsi"/>
          <w:b/>
          <w:noProof/>
        </w:rPr>
      </w:pPr>
      <w:r w:rsidRPr="008A10C0">
        <w:rPr>
          <w:rFonts w:ascii="Cambria" w:eastAsia="Calibri" w:hAnsi="Cambria" w:cstheme="minorHAnsi"/>
          <w:b/>
          <w:noProof/>
        </w:rPr>
        <mc:AlternateContent>
          <mc:Choice Requires="wps">
            <w:drawing>
              <wp:anchor distT="0" distB="0" distL="114300" distR="114300" simplePos="0" relativeHeight="251660288" behindDoc="0" locked="0" layoutInCell="1" allowOverlap="1" wp14:anchorId="32B775D5" wp14:editId="43304DC9">
                <wp:simplePos x="0" y="0"/>
                <wp:positionH relativeFrom="column">
                  <wp:posOffset>-114300</wp:posOffset>
                </wp:positionH>
                <wp:positionV relativeFrom="paragraph">
                  <wp:posOffset>95693</wp:posOffset>
                </wp:positionV>
                <wp:extent cx="5943600" cy="2540"/>
                <wp:effectExtent l="0" t="25400" r="0" b="4826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9639" id="Straight Connector 53"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9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" strokeweight="3pt"/>
            </w:pict>
          </mc:Fallback>
        </mc:AlternateContent>
      </w:r>
    </w:p>
    <w:p w14:paraId="1F2440A6" w14:textId="214ED6F8" w:rsidR="006E5326" w:rsidRDefault="006E5326" w:rsidP="006E5326">
      <w:pPr>
        <w:jc w:val="center"/>
        <w:rPr>
          <w:rFonts w:ascii="Cambria" w:eastAsia="Calibri" w:hAnsi="Cambria" w:cstheme="minorHAnsi"/>
          <w:b/>
          <w:sz w:val="40"/>
          <w:szCs w:val="40"/>
        </w:rPr>
      </w:pPr>
      <w:r w:rsidRPr="008A10C0">
        <w:rPr>
          <w:rFonts w:ascii="Cambria" w:eastAsia="Calibri" w:hAnsi="Cambria" w:cstheme="minorHAnsi"/>
          <w:b/>
          <w:sz w:val="40"/>
          <w:szCs w:val="40"/>
        </w:rPr>
        <w:t xml:space="preserve">Evaluation </w:t>
      </w:r>
      <w:r>
        <w:rPr>
          <w:rFonts w:ascii="Cambria" w:eastAsia="Calibri" w:hAnsi="Cambria" w:cstheme="minorHAnsi"/>
          <w:b/>
          <w:sz w:val="40"/>
          <w:szCs w:val="40"/>
        </w:rPr>
        <w:t>and</w:t>
      </w:r>
      <w:r w:rsidRPr="008A10C0">
        <w:rPr>
          <w:rFonts w:ascii="Cambria" w:eastAsia="Calibri" w:hAnsi="Cambria" w:cstheme="minorHAnsi"/>
          <w:b/>
          <w:sz w:val="40"/>
          <w:szCs w:val="40"/>
        </w:rPr>
        <w:t xml:space="preserve"> Eligibility</w:t>
      </w:r>
      <w:r>
        <w:rPr>
          <w:rFonts w:ascii="Cambria" w:eastAsia="Calibri" w:hAnsi="Cambria" w:cstheme="minorHAnsi"/>
          <w:b/>
          <w:sz w:val="40"/>
          <w:szCs w:val="40"/>
        </w:rPr>
        <w:t xml:space="preserve"> Decision Making:</w:t>
      </w:r>
    </w:p>
    <w:p w14:paraId="6899A4A2" w14:textId="77777777" w:rsidR="00996579" w:rsidRPr="008A10C0" w:rsidRDefault="00996579" w:rsidP="006E5326">
      <w:pPr>
        <w:jc w:val="center"/>
        <w:rPr>
          <w:rFonts w:ascii="Cambria" w:eastAsia="Calibri" w:hAnsi="Cambria" w:cstheme="minorHAnsi"/>
          <w:b/>
          <w:sz w:val="40"/>
          <w:szCs w:val="40"/>
        </w:rPr>
      </w:pPr>
    </w:p>
    <w:p w14:paraId="4CD0E53D" w14:textId="1ACC8B30" w:rsidR="006E5326" w:rsidRPr="008A10C0" w:rsidRDefault="006E5326" w:rsidP="006E5326">
      <w:pPr>
        <w:jc w:val="center"/>
        <w:rPr>
          <w:rFonts w:ascii="Cambria" w:eastAsia="Calibri" w:hAnsi="Cambria" w:cstheme="minorHAnsi"/>
          <w:b/>
          <w:sz w:val="40"/>
          <w:szCs w:val="40"/>
        </w:rPr>
      </w:pPr>
      <w:r>
        <w:rPr>
          <w:rFonts w:ascii="Cambria" w:eastAsia="Calibri" w:hAnsi="Cambria" w:cstheme="minorHAnsi"/>
          <w:b/>
          <w:sz w:val="40"/>
          <w:szCs w:val="40"/>
        </w:rPr>
        <w:t xml:space="preserve">Evaluation and Eligibility Determination for English Learners (EL) </w:t>
      </w:r>
    </w:p>
    <w:p w14:paraId="04F73333" w14:textId="77777777" w:rsidR="006E5326" w:rsidRPr="008A10C0" w:rsidRDefault="006E5326" w:rsidP="006E5326">
      <w:pPr>
        <w:jc w:val="center"/>
        <w:rPr>
          <w:rFonts w:ascii="Cambria" w:eastAsia="Calibri" w:hAnsi="Cambria" w:cstheme="minorHAnsi"/>
          <w:b/>
        </w:rPr>
      </w:pPr>
      <w:r w:rsidRPr="008A10C0">
        <w:rPr>
          <w:rFonts w:ascii="Cambria" w:eastAsia="Calibri" w:hAnsi="Cambria" w:cstheme="minorHAnsi"/>
          <w:b/>
          <w:noProof/>
        </w:rPr>
        <mc:AlternateContent>
          <mc:Choice Requires="wps">
            <w:drawing>
              <wp:anchor distT="0" distB="0" distL="114300" distR="114300" simplePos="0" relativeHeight="251659264" behindDoc="0" locked="0" layoutInCell="1" allowOverlap="1" wp14:anchorId="2F24F6F4" wp14:editId="3822CDCD">
                <wp:simplePos x="0" y="0"/>
                <wp:positionH relativeFrom="column">
                  <wp:posOffset>-114300</wp:posOffset>
                </wp:positionH>
                <wp:positionV relativeFrom="paragraph">
                  <wp:posOffset>65066</wp:posOffset>
                </wp:positionV>
                <wp:extent cx="5943600" cy="2540"/>
                <wp:effectExtent l="0" t="25400" r="0" b="4826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E061" id="Straight Connector 46"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59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" strokeweight="3pt"/>
            </w:pict>
          </mc:Fallback>
        </mc:AlternateContent>
      </w:r>
    </w:p>
    <w:p w14:paraId="1A73DD6F" w14:textId="77777777" w:rsidR="006E5326" w:rsidRDefault="006E5326" w:rsidP="006E5326">
      <w:pPr>
        <w:rPr>
          <w:rFonts w:ascii="Cambria" w:eastAsia="Calibri" w:hAnsi="Cambria" w:cstheme="minorHAnsi"/>
          <w:b/>
          <w:i/>
        </w:rPr>
      </w:pPr>
    </w:p>
    <w:p w14:paraId="6A029DC0" w14:textId="77777777" w:rsidR="006E5326" w:rsidRDefault="006E5326" w:rsidP="006E5326">
      <w:pPr>
        <w:rPr>
          <w:rFonts w:ascii="Cambria" w:eastAsia="Calibri" w:hAnsi="Cambria" w:cstheme="minorHAnsi"/>
          <w:b/>
          <w:i/>
        </w:rPr>
      </w:pPr>
    </w:p>
    <w:p w14:paraId="7539CA5C" w14:textId="77777777" w:rsidR="006E5326" w:rsidRDefault="006E5326" w:rsidP="006E5326">
      <w:pPr>
        <w:rPr>
          <w:rFonts w:ascii="Cambria" w:eastAsia="Calibri" w:hAnsi="Cambria" w:cstheme="minorHAnsi"/>
          <w:b/>
          <w:i/>
        </w:rPr>
      </w:pPr>
    </w:p>
    <w:p w14:paraId="45151AC4" w14:textId="77777777" w:rsidR="006E5326" w:rsidRDefault="006E5326" w:rsidP="006E5326">
      <w:pPr>
        <w:rPr>
          <w:rFonts w:ascii="Cambria" w:eastAsia="Calibri" w:hAnsi="Cambria" w:cstheme="minorHAnsi"/>
          <w:b/>
          <w:i/>
        </w:rPr>
      </w:pPr>
    </w:p>
    <w:p w14:paraId="55B0B36F" w14:textId="77777777" w:rsidR="006E5326" w:rsidRDefault="006E5326" w:rsidP="006E5326">
      <w:pPr>
        <w:rPr>
          <w:rFonts w:ascii="Cambria" w:eastAsia="Calibri" w:hAnsi="Cambria" w:cstheme="minorHAnsi"/>
          <w:b/>
          <w:i/>
        </w:rPr>
      </w:pPr>
    </w:p>
    <w:p w14:paraId="1ED54B44" w14:textId="77777777" w:rsidR="006E5326" w:rsidRDefault="006E5326" w:rsidP="006E5326">
      <w:pPr>
        <w:rPr>
          <w:rFonts w:ascii="Cambria" w:eastAsia="Calibri" w:hAnsi="Cambria" w:cstheme="minorHAnsi"/>
          <w:b/>
          <w:i/>
        </w:rPr>
      </w:pPr>
    </w:p>
    <w:p w14:paraId="77B54199" w14:textId="77777777" w:rsidR="006E5326" w:rsidRDefault="006E5326" w:rsidP="006E5326">
      <w:pPr>
        <w:rPr>
          <w:rFonts w:ascii="Cambria" w:eastAsia="Calibri" w:hAnsi="Cambria" w:cstheme="minorHAnsi"/>
          <w:b/>
          <w:i/>
        </w:rPr>
      </w:pPr>
    </w:p>
    <w:p w14:paraId="7FA278DF" w14:textId="77777777" w:rsidR="006E5326" w:rsidRPr="008A10C0" w:rsidRDefault="006E5326" w:rsidP="006E5326">
      <w:pPr>
        <w:rPr>
          <w:rFonts w:ascii="Cambria" w:eastAsia="Calibri" w:hAnsi="Cambria" w:cstheme="minorHAnsi"/>
          <w:b/>
          <w:i/>
        </w:rPr>
      </w:pPr>
    </w:p>
    <w:p w14:paraId="1704119A" w14:textId="77777777" w:rsidR="006E5326" w:rsidRPr="008A10C0" w:rsidRDefault="006E5326" w:rsidP="006E5326">
      <w:pPr>
        <w:jc w:val="center"/>
        <w:rPr>
          <w:rFonts w:ascii="Cambria" w:eastAsia="Calibri" w:hAnsi="Cambria" w:cstheme="minorHAnsi"/>
          <w:b/>
          <w:i/>
          <w:sz w:val="40"/>
          <w:szCs w:val="40"/>
        </w:rPr>
      </w:pPr>
      <w:r w:rsidRPr="008A10C0">
        <w:rPr>
          <w:rFonts w:ascii="Cambria" w:eastAsia="Calibri" w:hAnsi="Cambria" w:cstheme="minorHAnsi"/>
          <w:b/>
          <w:i/>
          <w:sz w:val="40"/>
          <w:szCs w:val="40"/>
        </w:rPr>
        <w:t>Handout</w:t>
      </w:r>
    </w:p>
    <w:p w14:paraId="12240DE6" w14:textId="77777777" w:rsidR="006E5326" w:rsidRPr="008A10C0" w:rsidRDefault="006E5326" w:rsidP="006E5326">
      <w:pPr>
        <w:jc w:val="center"/>
        <w:rPr>
          <w:rFonts w:ascii="Cambria" w:eastAsia="Calibri" w:hAnsi="Cambria" w:cstheme="minorHAnsi"/>
          <w:b/>
        </w:rPr>
      </w:pPr>
    </w:p>
    <w:p w14:paraId="0C35F8F0" w14:textId="77777777" w:rsidR="006E5326" w:rsidRPr="008A10C0" w:rsidRDefault="006E5326" w:rsidP="006E5326">
      <w:pPr>
        <w:jc w:val="center"/>
        <w:rPr>
          <w:rFonts w:ascii="Cambria" w:eastAsia="Calibri" w:hAnsi="Cambria" w:cstheme="minorHAnsi"/>
          <w:b/>
        </w:rPr>
      </w:pPr>
    </w:p>
    <w:p w14:paraId="0D9BD480" w14:textId="77777777" w:rsidR="006E5326" w:rsidRPr="008A10C0" w:rsidRDefault="006E5326" w:rsidP="006E5326">
      <w:pPr>
        <w:jc w:val="center"/>
        <w:rPr>
          <w:rFonts w:ascii="Cambria" w:eastAsia="Calibri" w:hAnsi="Cambria" w:cstheme="minorHAnsi"/>
          <w:b/>
        </w:rPr>
      </w:pPr>
    </w:p>
    <w:p w14:paraId="2E33E6A7" w14:textId="77777777" w:rsidR="006E5326" w:rsidRPr="008A10C0" w:rsidRDefault="006E5326" w:rsidP="006E5326">
      <w:pPr>
        <w:rPr>
          <w:rFonts w:ascii="Cambria" w:eastAsia="Calibri" w:hAnsi="Cambria" w:cstheme="minorHAnsi"/>
          <w:b/>
        </w:rPr>
      </w:pPr>
    </w:p>
    <w:p w14:paraId="18245855" w14:textId="77777777" w:rsidR="006E5326" w:rsidRPr="008A10C0" w:rsidRDefault="006E5326" w:rsidP="006E5326">
      <w:pPr>
        <w:rPr>
          <w:rFonts w:ascii="Cambria" w:eastAsia="Calibri" w:hAnsi="Cambria" w:cstheme="minorHAnsi"/>
          <w:b/>
        </w:rPr>
      </w:pPr>
    </w:p>
    <w:p w14:paraId="455D692E" w14:textId="77777777" w:rsidR="006E5326" w:rsidRPr="008A10C0" w:rsidRDefault="006E5326" w:rsidP="006E5326">
      <w:pPr>
        <w:rPr>
          <w:rFonts w:ascii="Cambria" w:eastAsia="Calibri" w:hAnsi="Cambria" w:cstheme="minorHAnsi"/>
          <w:b/>
        </w:rPr>
      </w:pPr>
    </w:p>
    <w:p w14:paraId="2B98DB4F" w14:textId="77777777" w:rsidR="006E5326" w:rsidRDefault="006E5326" w:rsidP="006E5326">
      <w:pPr>
        <w:rPr>
          <w:rFonts w:ascii="Cambria" w:eastAsia="Calibri" w:hAnsi="Cambria" w:cstheme="minorHAnsi"/>
          <w:b/>
        </w:rPr>
      </w:pPr>
    </w:p>
    <w:p w14:paraId="2222381F" w14:textId="77777777" w:rsidR="006E5326" w:rsidRDefault="006E5326" w:rsidP="006E5326">
      <w:pPr>
        <w:rPr>
          <w:rFonts w:ascii="Cambria" w:eastAsia="Calibri" w:hAnsi="Cambria" w:cstheme="minorHAnsi"/>
          <w:b/>
        </w:rPr>
      </w:pPr>
    </w:p>
    <w:p w14:paraId="15CFCF9C" w14:textId="77777777" w:rsidR="006E5326" w:rsidRDefault="006E5326" w:rsidP="006E5326">
      <w:pPr>
        <w:rPr>
          <w:rFonts w:ascii="Cambria" w:eastAsia="Calibri" w:hAnsi="Cambria" w:cstheme="minorHAnsi"/>
          <w:b/>
        </w:rPr>
      </w:pPr>
    </w:p>
    <w:p w14:paraId="605C5F0C" w14:textId="77777777" w:rsidR="006E5326" w:rsidRDefault="006E5326" w:rsidP="006E5326">
      <w:pPr>
        <w:rPr>
          <w:rFonts w:ascii="Cambria" w:eastAsia="Calibri" w:hAnsi="Cambria" w:cstheme="minorHAnsi"/>
          <w:b/>
        </w:rPr>
      </w:pPr>
    </w:p>
    <w:p w14:paraId="52B74539" w14:textId="77777777" w:rsidR="006E5326" w:rsidRDefault="006E5326" w:rsidP="006E5326">
      <w:pPr>
        <w:rPr>
          <w:rFonts w:ascii="Cambria" w:eastAsia="Calibri" w:hAnsi="Cambria" w:cstheme="minorHAnsi"/>
          <w:b/>
        </w:rPr>
      </w:pPr>
    </w:p>
    <w:p w14:paraId="5BE76AD4" w14:textId="77777777" w:rsidR="006E5326" w:rsidRPr="008A10C0" w:rsidRDefault="006E5326" w:rsidP="006E5326">
      <w:pPr>
        <w:rPr>
          <w:rFonts w:ascii="Cambria" w:eastAsia="Calibri" w:hAnsi="Cambria" w:cstheme="minorHAnsi"/>
          <w:b/>
        </w:rPr>
      </w:pPr>
    </w:p>
    <w:p w14:paraId="57FA4006" w14:textId="77777777" w:rsidR="006E5326" w:rsidRPr="008A10C0" w:rsidRDefault="006E5326" w:rsidP="006E5326">
      <w:pPr>
        <w:rPr>
          <w:rFonts w:ascii="Cambria" w:eastAsia="Calibri" w:hAnsi="Cambria" w:cstheme="minorHAnsi"/>
          <w:b/>
        </w:rPr>
      </w:pPr>
    </w:p>
    <w:p w14:paraId="36770D6F" w14:textId="77777777" w:rsidR="006E5326" w:rsidRPr="008A10C0" w:rsidRDefault="006E5326" w:rsidP="006E5326">
      <w:pPr>
        <w:rPr>
          <w:rFonts w:ascii="Cambria" w:eastAsia="Calibri" w:hAnsi="Cambria" w:cstheme="minorHAnsi"/>
          <w:b/>
        </w:rPr>
      </w:pPr>
    </w:p>
    <w:p w14:paraId="104B1A58" w14:textId="77777777" w:rsidR="006E5326" w:rsidRPr="008A10C0" w:rsidRDefault="006E5326" w:rsidP="006E5326">
      <w:pPr>
        <w:rPr>
          <w:rFonts w:ascii="Cambria" w:eastAsia="Calibri" w:hAnsi="Cambria" w:cstheme="minorHAnsi"/>
          <w:b/>
        </w:rPr>
      </w:pPr>
    </w:p>
    <w:p w14:paraId="2C3E4C3B" w14:textId="77777777" w:rsidR="006E5326" w:rsidRPr="008A10C0" w:rsidRDefault="006E5326" w:rsidP="006E5326">
      <w:pPr>
        <w:rPr>
          <w:rFonts w:ascii="Cambria" w:eastAsia="Calibri" w:hAnsi="Cambria" w:cstheme="minorHAnsi"/>
          <w:b/>
        </w:rPr>
      </w:pPr>
    </w:p>
    <w:p w14:paraId="6CFF37FE" w14:textId="77777777" w:rsidR="006E5326" w:rsidRPr="008A10C0" w:rsidRDefault="006E5326" w:rsidP="006E5326">
      <w:pPr>
        <w:rPr>
          <w:rFonts w:ascii="Cambria" w:eastAsia="Calibri" w:hAnsi="Cambria" w:cstheme="minorHAnsi"/>
          <w:b/>
        </w:rPr>
      </w:pPr>
    </w:p>
    <w:p w14:paraId="1613ECD5" w14:textId="77777777" w:rsidR="006E5326" w:rsidRPr="008A10C0" w:rsidRDefault="006E5326" w:rsidP="006E5326">
      <w:pPr>
        <w:rPr>
          <w:rFonts w:ascii="Cambria" w:eastAsia="Calibri" w:hAnsi="Cambria" w:cstheme="minorHAnsi"/>
          <w:b/>
        </w:rPr>
      </w:pPr>
      <w:r w:rsidRPr="008A10C0">
        <w:rPr>
          <w:rFonts w:ascii="Cambria" w:eastAsia="Calibri" w:hAnsi="Cambria" w:cstheme="minorHAnsi"/>
          <w:noProof/>
        </w:rPr>
        <w:drawing>
          <wp:inline distT="0" distB="0" distL="0" distR="0" wp14:anchorId="2A3DFF2D" wp14:editId="277322B0">
            <wp:extent cx="2971800" cy="1371600"/>
            <wp:effectExtent l="0" t="0" r="0" b="0"/>
            <wp:docPr id="45" name="Picture 45" descr="Also sponsored by the Kansas Technical Assistance System Network or TASN.  TASN is the technical assistance arm of the Kansa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lso sponsored by the Kansas Technical Assistance System Network or TASN.  TASN is the technical assistance arm of the Kansas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inline>
        </w:drawing>
      </w:r>
    </w:p>
    <w:p w14:paraId="15716E0A" w14:textId="31041AF2" w:rsidR="006E5326" w:rsidRPr="008A10C0" w:rsidRDefault="006E5326" w:rsidP="006E5326">
      <w:pPr>
        <w:jc w:val="both"/>
        <w:rPr>
          <w:rFonts w:ascii="Cambria" w:eastAsia="Calibri" w:hAnsi="Cambria" w:cstheme="minorHAnsi"/>
          <w:b/>
        </w:rPr>
      </w:pPr>
      <w:r>
        <w:rPr>
          <w:rFonts w:ascii="Cambria" w:eastAsia="Calibri" w:hAnsi="Cambria" w:cstheme="minorHAnsi"/>
          <w:b/>
        </w:rPr>
        <w:t>February 7, 2022</w:t>
      </w:r>
    </w:p>
    <w:p w14:paraId="3B973420" w14:textId="77777777" w:rsidR="006E5326" w:rsidRPr="008A10C0" w:rsidRDefault="006E5326" w:rsidP="006E5326">
      <w:pPr>
        <w:rPr>
          <w:rFonts w:ascii="Cambria" w:eastAsia="Calibri" w:hAnsi="Cambria" w:cstheme="minorHAnsi"/>
          <w:b/>
        </w:rPr>
      </w:pPr>
      <w:r w:rsidRPr="008A10C0">
        <w:rPr>
          <w:rFonts w:ascii="Cambria" w:eastAsia="Calibri" w:hAnsi="Cambria" w:cstheme="minorHAnsi"/>
          <w:b/>
        </w:rPr>
        <w:t xml:space="preserve">Created by: Technical Assistance Team and other TASN projects and providers </w:t>
      </w:r>
    </w:p>
    <w:p w14:paraId="4A643CA0" w14:textId="77777777" w:rsidR="006E5326" w:rsidRDefault="006E5326">
      <w:pPr>
        <w:rPr>
          <w:b/>
        </w:rPr>
      </w:pPr>
      <w:r>
        <w:rPr>
          <w:b/>
        </w:rPr>
        <w:br w:type="page"/>
      </w:r>
    </w:p>
    <w:p w14:paraId="156500AB" w14:textId="2FD2F094" w:rsidR="00DC2CC1" w:rsidRPr="00DC2CC1" w:rsidRDefault="00DC2CC1" w:rsidP="00DC2CC1">
      <w:pPr>
        <w:jc w:val="center"/>
        <w:rPr>
          <w:b/>
        </w:rPr>
      </w:pPr>
      <w:r>
        <w:rPr>
          <w:b/>
        </w:rPr>
        <w:lastRenderedPageBreak/>
        <w:t xml:space="preserve">Information to Consider for </w:t>
      </w:r>
      <w:r w:rsidR="00163541">
        <w:rPr>
          <w:b/>
        </w:rPr>
        <w:t>English Learners</w:t>
      </w:r>
      <w:r>
        <w:rPr>
          <w:b/>
        </w:rPr>
        <w:t xml:space="preserve"> during Initial Evaluation and Special Education Eligibility Determination</w:t>
      </w:r>
    </w:p>
    <w:p w14:paraId="5ED76368" w14:textId="77777777" w:rsidR="00DC2CC1" w:rsidRDefault="00DC2CC1" w:rsidP="00380536"/>
    <w:p w14:paraId="6B0621BF" w14:textId="3AEF2241" w:rsidR="006120AC" w:rsidRDefault="00326D39" w:rsidP="00380536">
      <w:pPr>
        <w:pStyle w:val="ListParagraph"/>
        <w:numPr>
          <w:ilvl w:val="0"/>
          <w:numId w:val="1"/>
        </w:numPr>
      </w:pPr>
      <w:r>
        <w:t xml:space="preserve">Consider </w:t>
      </w:r>
      <w:r w:rsidR="00B63A62">
        <w:t xml:space="preserve">target student’s </w:t>
      </w:r>
      <w:r>
        <w:t>b</w:t>
      </w:r>
      <w:r w:rsidR="006120AC">
        <w:t>ackground information</w:t>
      </w:r>
      <w:r>
        <w:t>.</w:t>
      </w:r>
    </w:p>
    <w:p w14:paraId="4ABCE3F7" w14:textId="4E36E198" w:rsidR="00E03B89" w:rsidRDefault="00380536" w:rsidP="006120AC">
      <w:pPr>
        <w:pStyle w:val="ListParagraph"/>
        <w:numPr>
          <w:ilvl w:val="1"/>
          <w:numId w:val="1"/>
        </w:numPr>
      </w:pPr>
      <w:r>
        <w:t>Home language</w:t>
      </w:r>
      <w:r w:rsidR="006120AC">
        <w:t>, changes in home language, siblings, etc.</w:t>
      </w:r>
    </w:p>
    <w:p w14:paraId="4B824F8D" w14:textId="49DC179E" w:rsidR="00380536" w:rsidRDefault="006120AC" w:rsidP="006120AC">
      <w:pPr>
        <w:pStyle w:val="ListParagraph"/>
        <w:numPr>
          <w:ilvl w:val="1"/>
          <w:numId w:val="1"/>
        </w:numPr>
      </w:pPr>
      <w:r>
        <w:t>Location of birth, moves, pre-school education, etc.</w:t>
      </w:r>
    </w:p>
    <w:p w14:paraId="091F5976" w14:textId="233D6A4B" w:rsidR="006120AC" w:rsidRDefault="006120AC" w:rsidP="006120AC">
      <w:pPr>
        <w:pStyle w:val="ListParagraph"/>
        <w:numPr>
          <w:ilvl w:val="1"/>
          <w:numId w:val="1"/>
        </w:numPr>
      </w:pPr>
      <w:r>
        <w:t>Developmental history</w:t>
      </w:r>
    </w:p>
    <w:p w14:paraId="6E1906D4" w14:textId="1B3C42C1" w:rsidR="00380536" w:rsidRDefault="00326D39" w:rsidP="00380536">
      <w:pPr>
        <w:pStyle w:val="ListParagraph"/>
        <w:numPr>
          <w:ilvl w:val="0"/>
          <w:numId w:val="1"/>
        </w:numPr>
      </w:pPr>
      <w:r>
        <w:t xml:space="preserve">Consider </w:t>
      </w:r>
      <w:r w:rsidR="00B63A62">
        <w:t xml:space="preserve">student’s </w:t>
      </w:r>
      <w:r>
        <w:t>p</w:t>
      </w:r>
      <w:r w:rsidR="00380536">
        <w:t>revious schooling in primary language</w:t>
      </w:r>
      <w:r>
        <w:t xml:space="preserve"> and </w:t>
      </w:r>
      <w:r w:rsidR="00837C79">
        <w:t>in English</w:t>
      </w:r>
      <w:r>
        <w:t>.</w:t>
      </w:r>
    </w:p>
    <w:p w14:paraId="04E9BA40" w14:textId="60D51B47" w:rsidR="00380536" w:rsidRDefault="00326D39" w:rsidP="00380536">
      <w:pPr>
        <w:pStyle w:val="ListParagraph"/>
        <w:numPr>
          <w:ilvl w:val="0"/>
          <w:numId w:val="1"/>
        </w:numPr>
      </w:pPr>
      <w:r>
        <w:t>Consider</w:t>
      </w:r>
      <w:r w:rsidR="00380536">
        <w:t xml:space="preserve"> </w:t>
      </w:r>
      <w:r w:rsidR="00B63A62">
        <w:t xml:space="preserve">student’s </w:t>
      </w:r>
      <w:r w:rsidR="00380536">
        <w:t>English acquisition</w:t>
      </w:r>
      <w:r w:rsidR="00CE6628">
        <w:t xml:space="preserve"> over time</w:t>
      </w:r>
      <w:r>
        <w:t>.</w:t>
      </w:r>
    </w:p>
    <w:p w14:paraId="41F6B8F8" w14:textId="22ABE661" w:rsidR="009C112F" w:rsidRDefault="009C112F" w:rsidP="009C112F">
      <w:pPr>
        <w:pStyle w:val="ListParagraph"/>
        <w:numPr>
          <w:ilvl w:val="1"/>
          <w:numId w:val="1"/>
        </w:numPr>
      </w:pPr>
      <w:r>
        <w:t xml:space="preserve">Baseline </w:t>
      </w:r>
      <w:r w:rsidR="00837C79">
        <w:t xml:space="preserve">and current </w:t>
      </w:r>
      <w:r>
        <w:t xml:space="preserve">English proficiency </w:t>
      </w:r>
    </w:p>
    <w:p w14:paraId="152E83E9" w14:textId="006ACF75" w:rsidR="009C112F" w:rsidRDefault="009C112F" w:rsidP="009C112F">
      <w:pPr>
        <w:pStyle w:val="ListParagraph"/>
        <w:numPr>
          <w:ilvl w:val="1"/>
          <w:numId w:val="1"/>
        </w:numPr>
      </w:pPr>
      <w:r>
        <w:t>Results of any progress monitoring of English acquisition</w:t>
      </w:r>
    </w:p>
    <w:p w14:paraId="01C5320B" w14:textId="2BBBCE38" w:rsidR="009C112F" w:rsidRDefault="009C112F" w:rsidP="009C112F">
      <w:pPr>
        <w:pStyle w:val="ListParagraph"/>
        <w:numPr>
          <w:ilvl w:val="1"/>
          <w:numId w:val="1"/>
        </w:numPr>
      </w:pPr>
      <w:r>
        <w:t xml:space="preserve">Compare rate and level of English acquisition with </w:t>
      </w:r>
      <w:r w:rsidR="00163541">
        <w:t>English Learner</w:t>
      </w:r>
      <w:r>
        <w:t xml:space="preserve"> peer(s)</w:t>
      </w:r>
      <w:r w:rsidR="00163541">
        <w:t>.</w:t>
      </w:r>
    </w:p>
    <w:p w14:paraId="7E2150BF" w14:textId="2BF6E580" w:rsidR="00CE6628" w:rsidRDefault="00326D39" w:rsidP="00380536">
      <w:pPr>
        <w:pStyle w:val="ListParagraph"/>
        <w:numPr>
          <w:ilvl w:val="0"/>
          <w:numId w:val="1"/>
        </w:numPr>
      </w:pPr>
      <w:r>
        <w:t>Consider l</w:t>
      </w:r>
      <w:r w:rsidR="00163541">
        <w:t>anguage</w:t>
      </w:r>
      <w:r w:rsidR="00CE6628">
        <w:t xml:space="preserve"> instruction provided</w:t>
      </w:r>
      <w:r w:rsidR="00B63A62">
        <w:t xml:space="preserve"> to the target student</w:t>
      </w:r>
      <w:r>
        <w:t>.</w:t>
      </w:r>
      <w:r w:rsidR="00CE6628">
        <w:t xml:space="preserve"> </w:t>
      </w:r>
    </w:p>
    <w:p w14:paraId="05F5ECCA" w14:textId="151BB133" w:rsidR="00837C79" w:rsidRDefault="00837C79" w:rsidP="00CE6628">
      <w:pPr>
        <w:pStyle w:val="ListParagraph"/>
        <w:numPr>
          <w:ilvl w:val="1"/>
          <w:numId w:val="1"/>
        </w:numPr>
      </w:pPr>
      <w:r>
        <w:t>Review information on</w:t>
      </w:r>
      <w:r w:rsidR="00B63A62">
        <w:t xml:space="preserve"> student’s</w:t>
      </w:r>
      <w:r>
        <w:t xml:space="preserve"> ILP</w:t>
      </w:r>
      <w:r w:rsidR="00163541">
        <w:t>.</w:t>
      </w:r>
    </w:p>
    <w:p w14:paraId="343B5128" w14:textId="77777777" w:rsidR="00CE6628" w:rsidRDefault="00380536" w:rsidP="00CE6628">
      <w:pPr>
        <w:pStyle w:val="ListParagraph"/>
        <w:numPr>
          <w:ilvl w:val="1"/>
          <w:numId w:val="1"/>
        </w:numPr>
      </w:pPr>
      <w:r>
        <w:t xml:space="preserve">Is student being taught in English or primary language or both?  </w:t>
      </w:r>
    </w:p>
    <w:p w14:paraId="792AAD8B" w14:textId="13513069" w:rsidR="00CE6628" w:rsidRDefault="00380536" w:rsidP="00CE6628">
      <w:pPr>
        <w:pStyle w:val="ListParagraph"/>
        <w:numPr>
          <w:ilvl w:val="1"/>
          <w:numId w:val="1"/>
        </w:numPr>
      </w:pPr>
      <w:r>
        <w:t>What is the type of program being provided</w:t>
      </w:r>
      <w:r w:rsidR="00163541">
        <w:t xml:space="preserve"> for language instruction</w:t>
      </w:r>
      <w:r>
        <w:t>?</w:t>
      </w:r>
      <w:r w:rsidR="00CE6628">
        <w:t xml:space="preserve">  </w:t>
      </w:r>
    </w:p>
    <w:p w14:paraId="159AD550" w14:textId="2D51E1EC" w:rsidR="00380536" w:rsidRDefault="00CE6628" w:rsidP="00CE6628">
      <w:pPr>
        <w:pStyle w:val="ListParagraph"/>
        <w:numPr>
          <w:ilvl w:val="1"/>
          <w:numId w:val="1"/>
        </w:numPr>
      </w:pPr>
      <w:r>
        <w:t>How has that program been adjusted to meet individual student needs?</w:t>
      </w:r>
    </w:p>
    <w:p w14:paraId="6FF60A0B" w14:textId="7328B336" w:rsidR="00380536" w:rsidRDefault="00326D39" w:rsidP="00380536">
      <w:pPr>
        <w:pStyle w:val="ListParagraph"/>
        <w:numPr>
          <w:ilvl w:val="0"/>
          <w:numId w:val="1"/>
        </w:numPr>
      </w:pPr>
      <w:r>
        <w:t xml:space="preserve">Consider </w:t>
      </w:r>
      <w:r w:rsidR="00380536">
        <w:t>universal screening</w:t>
      </w:r>
      <w:r w:rsidR="00B63A62">
        <w:t xml:space="preserve"> results for student and EL and classroom peers</w:t>
      </w:r>
      <w:r>
        <w:t>.</w:t>
      </w:r>
    </w:p>
    <w:p w14:paraId="4CEC39BD" w14:textId="77777777" w:rsidR="00380536" w:rsidRDefault="00380536" w:rsidP="00380536">
      <w:pPr>
        <w:pStyle w:val="ListParagraph"/>
        <w:numPr>
          <w:ilvl w:val="1"/>
          <w:numId w:val="1"/>
        </w:numPr>
      </w:pPr>
      <w:r>
        <w:t>Is student being taught to read in English or primary language or both?</w:t>
      </w:r>
    </w:p>
    <w:p w14:paraId="1D6FD750" w14:textId="77777777" w:rsidR="00380536" w:rsidRDefault="00380536" w:rsidP="00380536">
      <w:pPr>
        <w:pStyle w:val="ListParagraph"/>
        <w:numPr>
          <w:ilvl w:val="1"/>
          <w:numId w:val="1"/>
        </w:numPr>
      </w:pPr>
      <w:r>
        <w:t>Is screening being conducted in English or primary language or both?</w:t>
      </w:r>
    </w:p>
    <w:p w14:paraId="66A3CEC2" w14:textId="1776D17A" w:rsidR="00380536" w:rsidRDefault="00326D39" w:rsidP="00380536">
      <w:pPr>
        <w:pStyle w:val="ListParagraph"/>
        <w:numPr>
          <w:ilvl w:val="0"/>
          <w:numId w:val="1"/>
        </w:numPr>
      </w:pPr>
      <w:r>
        <w:t xml:space="preserve">Consider </w:t>
      </w:r>
      <w:r w:rsidR="00380536">
        <w:t>G</w:t>
      </w:r>
      <w:r w:rsidR="00163541">
        <w:t xml:space="preserve">eneral </w:t>
      </w:r>
      <w:r w:rsidR="00380536">
        <w:t>E</w:t>
      </w:r>
      <w:r w:rsidR="00163541">
        <w:t xml:space="preserve">ducation </w:t>
      </w:r>
      <w:r w:rsidR="00380536">
        <w:t>I</w:t>
      </w:r>
      <w:r w:rsidR="00163541">
        <w:t>ntervention</w:t>
      </w:r>
      <w:r w:rsidR="00380536">
        <w:t>s</w:t>
      </w:r>
      <w:r w:rsidR="00163541">
        <w:t xml:space="preserve"> (GEIs)</w:t>
      </w:r>
      <w:r w:rsidR="00380536">
        <w:t xml:space="preserve"> provided</w:t>
      </w:r>
      <w:r>
        <w:t>.</w:t>
      </w:r>
      <w:r w:rsidR="00380536">
        <w:t xml:space="preserve">  </w:t>
      </w:r>
    </w:p>
    <w:p w14:paraId="7744BA4C" w14:textId="1FF00944" w:rsidR="00837C79" w:rsidRDefault="00837C79" w:rsidP="00837C79">
      <w:pPr>
        <w:pStyle w:val="ListParagraph"/>
        <w:numPr>
          <w:ilvl w:val="1"/>
          <w:numId w:val="1"/>
        </w:numPr>
      </w:pPr>
      <w:r>
        <w:t xml:space="preserve">Are </w:t>
      </w:r>
      <w:r w:rsidR="00B63A62">
        <w:t>student’s teachers</w:t>
      </w:r>
      <w:r>
        <w:t xml:space="preserve"> repeatedly linking to L1 in the classroom? </w:t>
      </w:r>
    </w:p>
    <w:p w14:paraId="353FD93F" w14:textId="76802AD3" w:rsidR="00380536" w:rsidRDefault="00380536" w:rsidP="00380536">
      <w:pPr>
        <w:pStyle w:val="ListParagraph"/>
        <w:numPr>
          <w:ilvl w:val="1"/>
          <w:numId w:val="1"/>
        </w:numPr>
      </w:pPr>
      <w:r>
        <w:t xml:space="preserve">What were the results of </w:t>
      </w:r>
      <w:r w:rsidR="00326D39">
        <w:t xml:space="preserve">GEI </w:t>
      </w:r>
      <w:r>
        <w:t>progress monitoring?</w:t>
      </w:r>
    </w:p>
    <w:p w14:paraId="2D64BCA7" w14:textId="5C0F8B81" w:rsidR="00837C79" w:rsidRDefault="00380536" w:rsidP="00380536">
      <w:pPr>
        <w:pStyle w:val="ListParagraph"/>
        <w:numPr>
          <w:ilvl w:val="1"/>
          <w:numId w:val="1"/>
        </w:numPr>
      </w:pPr>
      <w:r>
        <w:t>H</w:t>
      </w:r>
      <w:r w:rsidR="006120AC">
        <w:t>ow do results of</w:t>
      </w:r>
      <w:r>
        <w:t xml:space="preserve"> GEIs </w:t>
      </w:r>
      <w:r w:rsidR="006120AC">
        <w:t>for targeted student compare to results of GEIs for</w:t>
      </w:r>
      <w:r>
        <w:t xml:space="preserve"> other </w:t>
      </w:r>
      <w:r w:rsidR="00163541">
        <w:t>English Learners (Els)</w:t>
      </w:r>
      <w:r>
        <w:t xml:space="preserve">? </w:t>
      </w:r>
    </w:p>
    <w:p w14:paraId="3954F4F3" w14:textId="5F4F2DEF" w:rsidR="00CE6628" w:rsidRDefault="006120AC" w:rsidP="00CE6628">
      <w:pPr>
        <w:pStyle w:val="ListParagraph"/>
        <w:numPr>
          <w:ilvl w:val="0"/>
          <w:numId w:val="1"/>
        </w:numPr>
      </w:pPr>
      <w:r>
        <w:t>For RTI evaluations, c</w:t>
      </w:r>
      <w:r w:rsidR="00CE6628">
        <w:t xml:space="preserve">onsider dual discrepancy for </w:t>
      </w:r>
      <w:r w:rsidR="00163541">
        <w:t xml:space="preserve">the </w:t>
      </w:r>
      <w:r w:rsidR="00CE6628">
        <w:t xml:space="preserve">target student compared to </w:t>
      </w:r>
      <w:r w:rsidR="00163541">
        <w:t>English Learner</w:t>
      </w:r>
      <w:r w:rsidR="00CE6628">
        <w:t xml:space="preserve"> peer(s)</w:t>
      </w:r>
      <w:r w:rsidR="009C112F">
        <w:t xml:space="preserve"> with regard to skill </w:t>
      </w:r>
      <w:r w:rsidR="001377C2">
        <w:t>development</w:t>
      </w:r>
      <w:r w:rsidR="00163541">
        <w:t>.</w:t>
      </w:r>
    </w:p>
    <w:p w14:paraId="0B45DC6E" w14:textId="6DCFC104" w:rsidR="00CE6628" w:rsidRDefault="00CE6628" w:rsidP="00CE6628">
      <w:pPr>
        <w:pStyle w:val="ListParagraph"/>
        <w:numPr>
          <w:ilvl w:val="1"/>
          <w:numId w:val="1"/>
        </w:numPr>
      </w:pPr>
      <w:r>
        <w:t xml:space="preserve">Does target student differ from </w:t>
      </w:r>
      <w:r w:rsidR="00163541">
        <w:t>English Learner</w:t>
      </w:r>
      <w:r>
        <w:t xml:space="preserve"> peer(s) with regard to level of performance?</w:t>
      </w:r>
      <w:r w:rsidR="009C112F">
        <w:t xml:space="preserve"> (</w:t>
      </w:r>
      <w:r w:rsidR="00163541">
        <w:t>Use</w:t>
      </w:r>
      <w:r w:rsidR="009C112F">
        <w:t xml:space="preserve"> screening data</w:t>
      </w:r>
      <w:r w:rsidR="00163541">
        <w:t>.</w:t>
      </w:r>
      <w:r w:rsidR="009C112F">
        <w:t>)</w:t>
      </w:r>
    </w:p>
    <w:p w14:paraId="5D8F6B7C" w14:textId="562CA9B1" w:rsidR="00CE6628" w:rsidRDefault="00CE6628" w:rsidP="00CE6628">
      <w:pPr>
        <w:pStyle w:val="ListParagraph"/>
        <w:numPr>
          <w:ilvl w:val="1"/>
          <w:numId w:val="1"/>
        </w:numPr>
      </w:pPr>
      <w:r>
        <w:t xml:space="preserve">Does target student differ from </w:t>
      </w:r>
      <w:r w:rsidR="00163541">
        <w:t>English Learner</w:t>
      </w:r>
      <w:r>
        <w:t xml:space="preserve"> peer(s) with regard to rate of </w:t>
      </w:r>
      <w:r w:rsidR="009C112F">
        <w:t>learning? (</w:t>
      </w:r>
      <w:r w:rsidR="00163541">
        <w:t>Use</w:t>
      </w:r>
      <w:r w:rsidR="009C112F">
        <w:t xml:space="preserve"> progress monitoring data</w:t>
      </w:r>
      <w:r w:rsidR="00163541">
        <w:t>.</w:t>
      </w:r>
      <w:r w:rsidR="009C112F">
        <w:t>)</w:t>
      </w:r>
    </w:p>
    <w:p w14:paraId="01FC4EA5" w14:textId="7BA20B01" w:rsidR="00FC6817" w:rsidRDefault="00FC6817" w:rsidP="00CE6628">
      <w:pPr>
        <w:pStyle w:val="ListParagraph"/>
        <w:numPr>
          <w:ilvl w:val="1"/>
          <w:numId w:val="1"/>
        </w:numPr>
      </w:pPr>
      <w:r>
        <w:t xml:space="preserve">Consider input of experienced teacher </w:t>
      </w:r>
      <w:r w:rsidR="00163541">
        <w:t xml:space="preserve">of ELs </w:t>
      </w:r>
      <w:r>
        <w:t>regarding (a) and (b)</w:t>
      </w:r>
      <w:r w:rsidR="00163541">
        <w:t>.</w:t>
      </w:r>
    </w:p>
    <w:p w14:paraId="0A4332B6" w14:textId="128D15C2" w:rsidR="006120AC" w:rsidRDefault="006120AC" w:rsidP="006120AC">
      <w:pPr>
        <w:pStyle w:val="ListParagraph"/>
        <w:numPr>
          <w:ilvl w:val="0"/>
          <w:numId w:val="1"/>
        </w:numPr>
      </w:pPr>
      <w:r>
        <w:t>For Patterns</w:t>
      </w:r>
      <w:r w:rsidR="00E3011F">
        <w:t xml:space="preserve"> (PSW)</w:t>
      </w:r>
      <w:r>
        <w:t xml:space="preserve"> method of evaluation, conduct non-biased asse</w:t>
      </w:r>
      <w:r w:rsidR="00E3011F">
        <w:t>ssment</w:t>
      </w:r>
      <w:r w:rsidR="00163541">
        <w:t>.</w:t>
      </w:r>
      <w:r w:rsidR="00E3011F">
        <w:t xml:space="preserve"> </w:t>
      </w:r>
    </w:p>
    <w:p w14:paraId="1D927F8C" w14:textId="498878A3" w:rsidR="00E04728" w:rsidRDefault="006120AC" w:rsidP="00E04728">
      <w:pPr>
        <w:pStyle w:val="ListParagraph"/>
        <w:numPr>
          <w:ilvl w:val="0"/>
          <w:numId w:val="1"/>
        </w:numPr>
      </w:pPr>
      <w:r>
        <w:t>For either method of evaluation, c</w:t>
      </w:r>
      <w:r w:rsidR="001B0DA8">
        <w:t>onsider conducting nonverbal assessment</w:t>
      </w:r>
      <w:r w:rsidR="00FB17B8">
        <w:t xml:space="preserve"> with low cultural loading</w:t>
      </w:r>
      <w:r w:rsidR="00163541">
        <w:t>.</w:t>
      </w:r>
    </w:p>
    <w:p w14:paraId="7AB317CC" w14:textId="0712888D" w:rsidR="00FE4B7A" w:rsidRPr="00FE4B7A" w:rsidRDefault="00FE4B7A" w:rsidP="00FE4B7A">
      <w:pPr>
        <w:pStyle w:val="ListParagraph"/>
        <w:numPr>
          <w:ilvl w:val="1"/>
          <w:numId w:val="1"/>
        </w:numPr>
      </w:pPr>
      <w:r>
        <w:rPr>
          <w:rFonts w:eastAsia="Times New Roman" w:cs="Times New Roman"/>
        </w:rPr>
        <w:t>Multi-dimensional test</w:t>
      </w:r>
      <w:r w:rsidR="00163541">
        <w:rPr>
          <w:rFonts w:eastAsia="Times New Roman" w:cs="Times New Roman"/>
        </w:rPr>
        <w:t xml:space="preserve"> examples</w:t>
      </w:r>
      <w:r>
        <w:rPr>
          <w:rFonts w:eastAsia="Times New Roman" w:cs="Times New Roman"/>
        </w:rPr>
        <w:t xml:space="preserve">: </w:t>
      </w:r>
      <w:r w:rsidR="00E04728" w:rsidRPr="00E04728">
        <w:rPr>
          <w:rFonts w:eastAsia="Times New Roman" w:cs="Times New Roman"/>
        </w:rPr>
        <w:t xml:space="preserve">the Universal Nonverbal Intelligence Test (UNIT), the Leiter-Revised, </w:t>
      </w:r>
      <w:r>
        <w:rPr>
          <w:rFonts w:eastAsia="Times New Roman" w:cs="Times New Roman"/>
        </w:rPr>
        <w:t xml:space="preserve">and </w:t>
      </w:r>
      <w:r w:rsidR="00E04728" w:rsidRPr="00E04728">
        <w:rPr>
          <w:rFonts w:eastAsia="Times New Roman" w:cs="Times New Roman"/>
        </w:rPr>
        <w:t xml:space="preserve">the Kaufman Assessment Battery for Children-II (KABC-II) when administering the nonverbal subtests using the pantomimed administration specified by the test authors. </w:t>
      </w:r>
    </w:p>
    <w:p w14:paraId="18A6B942" w14:textId="58688E90" w:rsidR="001B0DA8" w:rsidRDefault="00FE4B7A" w:rsidP="00CE6628">
      <w:pPr>
        <w:pStyle w:val="ListParagraph"/>
        <w:numPr>
          <w:ilvl w:val="1"/>
          <w:numId w:val="1"/>
        </w:numPr>
      </w:pPr>
      <w:r>
        <w:rPr>
          <w:rFonts w:eastAsia="Times New Roman" w:cs="Times New Roman"/>
        </w:rPr>
        <w:t>Uni-dimensional test</w:t>
      </w:r>
      <w:r w:rsidR="00163541">
        <w:rPr>
          <w:rFonts w:eastAsia="Times New Roman" w:cs="Times New Roman"/>
        </w:rPr>
        <w:t xml:space="preserve"> examples</w:t>
      </w:r>
      <w:r>
        <w:rPr>
          <w:rFonts w:eastAsia="Times New Roman" w:cs="Times New Roman"/>
        </w:rPr>
        <w:t xml:space="preserve">: </w:t>
      </w:r>
      <w:r w:rsidR="00CE6628">
        <w:rPr>
          <w:rFonts w:eastAsia="Times New Roman" w:cs="Times New Roman"/>
        </w:rPr>
        <w:t>t</w:t>
      </w:r>
      <w:r w:rsidRPr="00FE4B7A">
        <w:rPr>
          <w:rFonts w:eastAsia="Times New Roman" w:cs="Times New Roman"/>
        </w:rPr>
        <w:t xml:space="preserve">he </w:t>
      </w:r>
      <w:r>
        <w:rPr>
          <w:rFonts w:eastAsia="Times New Roman" w:cs="Times New Roman"/>
        </w:rPr>
        <w:t>Test of Nonverbal Intelligence-Third E</w:t>
      </w:r>
      <w:r w:rsidRPr="00FE4B7A">
        <w:rPr>
          <w:rFonts w:eastAsia="Times New Roman" w:cs="Times New Roman"/>
        </w:rPr>
        <w:t xml:space="preserve">dition (TONI-III), </w:t>
      </w:r>
      <w:r w:rsidR="00CE6628">
        <w:rPr>
          <w:rFonts w:eastAsia="Times New Roman" w:cs="Times New Roman"/>
        </w:rPr>
        <w:t>t</w:t>
      </w:r>
      <w:r w:rsidRPr="00FE4B7A">
        <w:rPr>
          <w:rFonts w:eastAsia="Times New Roman" w:cs="Times New Roman"/>
        </w:rPr>
        <w:t xml:space="preserve">he Comprehensive Test of Nonverbal Intelligence (C-TONI), </w:t>
      </w:r>
      <w:r>
        <w:rPr>
          <w:rFonts w:eastAsia="Times New Roman" w:cs="Times New Roman"/>
        </w:rPr>
        <w:t xml:space="preserve">the </w:t>
      </w:r>
      <w:proofErr w:type="spellStart"/>
      <w:r w:rsidRPr="00FE4B7A">
        <w:rPr>
          <w:rFonts w:eastAsia="Times New Roman" w:cs="Times New Roman"/>
        </w:rPr>
        <w:t>Naglieri</w:t>
      </w:r>
      <w:proofErr w:type="spellEnd"/>
      <w:r w:rsidRPr="00FE4B7A">
        <w:rPr>
          <w:rFonts w:eastAsia="Times New Roman" w:cs="Times New Roman"/>
        </w:rPr>
        <w:t xml:space="preserve"> Nonverbal Ability Test (NNAT), and Raven’s Progressive Matrices (RPM)</w:t>
      </w:r>
      <w:r>
        <w:rPr>
          <w:rFonts w:eastAsia="Times New Roman" w:cs="Times New Roman"/>
        </w:rPr>
        <w:t>.</w:t>
      </w:r>
      <w:r w:rsidRPr="00FE4B7A">
        <w:rPr>
          <w:rFonts w:eastAsia="Times New Roman" w:cs="Times New Roman"/>
        </w:rPr>
        <w:t xml:space="preserve"> </w:t>
      </w:r>
    </w:p>
    <w:p w14:paraId="4F1DD19F" w14:textId="22067E67" w:rsidR="00380536" w:rsidRDefault="00380536" w:rsidP="00380536">
      <w:pPr>
        <w:pStyle w:val="ListParagraph"/>
        <w:numPr>
          <w:ilvl w:val="0"/>
          <w:numId w:val="1"/>
        </w:numPr>
      </w:pPr>
      <w:r>
        <w:t xml:space="preserve">How do </w:t>
      </w:r>
      <w:r w:rsidR="00163541">
        <w:t xml:space="preserve">the target </w:t>
      </w:r>
      <w:r>
        <w:t xml:space="preserve">student’s </w:t>
      </w:r>
      <w:r w:rsidR="00432AAE">
        <w:t>progress and needs differ from those</w:t>
      </w:r>
      <w:r>
        <w:t xml:space="preserve"> of other </w:t>
      </w:r>
      <w:r w:rsidR="00163541">
        <w:t>ELs</w:t>
      </w:r>
      <w:r>
        <w:t>?</w:t>
      </w:r>
    </w:p>
    <w:p w14:paraId="2603610B" w14:textId="0D942CB3" w:rsidR="002B28C8" w:rsidRDefault="002B28C8" w:rsidP="006120AC">
      <w:pPr>
        <w:pStyle w:val="ListParagraph"/>
        <w:numPr>
          <w:ilvl w:val="0"/>
          <w:numId w:val="1"/>
        </w:numPr>
      </w:pPr>
      <w:r>
        <w:t>Apply two-prong test of eligibility</w:t>
      </w:r>
      <w:r w:rsidR="006120AC">
        <w:t xml:space="preserve"> to data collected (see Indicators Document)</w:t>
      </w:r>
      <w:r w:rsidR="00163541">
        <w:t>.</w:t>
      </w:r>
    </w:p>
    <w:p w14:paraId="0EC24DAC" w14:textId="77777777" w:rsidR="00643156" w:rsidRDefault="00643156" w:rsidP="00643156">
      <w:pPr>
        <w:rPr>
          <w:rFonts w:ascii="Cambria" w:eastAsia="Times New Roman" w:hAnsi="Cambria" w:cstheme="minorHAnsi"/>
          <w:b/>
          <w:bCs/>
        </w:rPr>
      </w:pPr>
      <w:r>
        <w:rPr>
          <w:rFonts w:ascii="Cambria" w:eastAsia="Times New Roman" w:hAnsi="Cambria" w:cstheme="minorHAnsi"/>
          <w:b/>
          <w:bCs/>
        </w:rPr>
        <w:lastRenderedPageBreak/>
        <w:t>Quality Indicators for Nondiscriminatory Assessment</w:t>
      </w:r>
    </w:p>
    <w:p w14:paraId="4F2A6E2A" w14:textId="77777777" w:rsidR="00643156" w:rsidRDefault="00643156" w:rsidP="00643156">
      <w:pPr>
        <w:rPr>
          <w:rFonts w:ascii="Cambria" w:eastAsia="Times New Roman" w:hAnsi="Cambria" w:cstheme="minorHAnsi"/>
          <w:b/>
          <w:bCs/>
        </w:rPr>
      </w:pPr>
    </w:p>
    <w:p w14:paraId="29D12151"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Assess initially with authentic and alternative procedures.</w:t>
      </w:r>
    </w:p>
    <w:p w14:paraId="56F7F505"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Establish an appropriate basis for comparison.</w:t>
      </w:r>
    </w:p>
    <w:p w14:paraId="017F9D6F"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Assess and evaluate the learning ecology/environment.</w:t>
      </w:r>
    </w:p>
    <w:p w14:paraId="17C74BEC"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Assess and evaluate the student’s opportunity for learning.</w:t>
      </w:r>
    </w:p>
    <w:p w14:paraId="53B850BC"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 xml:space="preserve">Ensure the test norms are adequate.  </w:t>
      </w:r>
    </w:p>
    <w:p w14:paraId="60FE23E2" w14:textId="77777777" w:rsidR="00643156" w:rsidRPr="008A54D8" w:rsidRDefault="00643156" w:rsidP="00643156">
      <w:pPr>
        <w:numPr>
          <w:ilvl w:val="1"/>
          <w:numId w:val="2"/>
        </w:numPr>
        <w:rPr>
          <w:rFonts w:ascii="Cambria" w:eastAsia="Times New Roman" w:hAnsi="Cambria" w:cstheme="minorHAnsi"/>
        </w:rPr>
      </w:pPr>
      <w:r w:rsidRPr="008A54D8">
        <w:rPr>
          <w:rFonts w:ascii="Cambria" w:eastAsia="Times New Roman" w:hAnsi="Cambria" w:cstheme="minorHAnsi"/>
        </w:rPr>
        <w:t>What is the test supposed to measure?</w:t>
      </w:r>
    </w:p>
    <w:p w14:paraId="10B386B2" w14:textId="77777777" w:rsidR="00643156" w:rsidRPr="008A54D8" w:rsidRDefault="00643156" w:rsidP="00643156">
      <w:pPr>
        <w:numPr>
          <w:ilvl w:val="1"/>
          <w:numId w:val="2"/>
        </w:numPr>
        <w:rPr>
          <w:rFonts w:ascii="Cambria" w:eastAsia="Times New Roman" w:hAnsi="Cambria" w:cstheme="minorHAnsi"/>
        </w:rPr>
      </w:pPr>
      <w:r w:rsidRPr="008A54D8">
        <w:rPr>
          <w:rFonts w:ascii="Cambria" w:eastAsia="Times New Roman" w:hAnsi="Cambria" w:cstheme="minorHAnsi"/>
        </w:rPr>
        <w:t xml:space="preserve">What does the professional literature have to say about how diverse students perform on the test? </w:t>
      </w:r>
    </w:p>
    <w:p w14:paraId="52431C3A"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Consider how linguistic and/or cultural factors impacted the validity of the test/procedure.</w:t>
      </w:r>
    </w:p>
    <w:p w14:paraId="739EB46F" w14:textId="77777777" w:rsidR="00643156" w:rsidRPr="008A54D8" w:rsidRDefault="00643156" w:rsidP="00643156">
      <w:pPr>
        <w:numPr>
          <w:ilvl w:val="0"/>
          <w:numId w:val="2"/>
        </w:numPr>
        <w:rPr>
          <w:rFonts w:ascii="Cambria" w:eastAsia="Times New Roman" w:hAnsi="Cambria" w:cstheme="minorHAnsi"/>
        </w:rPr>
      </w:pPr>
      <w:r w:rsidRPr="008A54D8">
        <w:rPr>
          <w:rFonts w:ascii="Cambria" w:eastAsia="Times New Roman" w:hAnsi="Cambria" w:cstheme="minorHAnsi"/>
        </w:rPr>
        <w:t>Support conclusions through data convergence and multiple indicators.  Look for multiple data sources.</w:t>
      </w:r>
    </w:p>
    <w:p w14:paraId="2A7CFE96" w14:textId="77777777" w:rsidR="00643156" w:rsidRPr="008A54D8" w:rsidRDefault="00643156" w:rsidP="00643156">
      <w:pPr>
        <w:rPr>
          <w:rFonts w:ascii="Cambria" w:eastAsia="Times New Roman" w:hAnsi="Cambria" w:cstheme="minorHAnsi"/>
          <w:i/>
          <w:iCs/>
        </w:rPr>
      </w:pPr>
      <w:r w:rsidRPr="008A54D8">
        <w:rPr>
          <w:rFonts w:ascii="Cambria" w:eastAsia="Times New Roman" w:hAnsi="Cambria" w:cstheme="minorHAnsi"/>
          <w:i/>
          <w:iCs/>
        </w:rPr>
        <w:t>(</w:t>
      </w:r>
      <w:proofErr w:type="gramStart"/>
      <w:r w:rsidRPr="008A54D8">
        <w:rPr>
          <w:rFonts w:ascii="Cambria" w:eastAsia="Times New Roman" w:hAnsi="Cambria" w:cstheme="minorHAnsi"/>
          <w:i/>
          <w:iCs/>
        </w:rPr>
        <w:t>adapted</w:t>
      </w:r>
      <w:proofErr w:type="gramEnd"/>
      <w:r w:rsidRPr="008A54D8">
        <w:rPr>
          <w:rFonts w:ascii="Cambria" w:eastAsia="Times New Roman" w:hAnsi="Cambria" w:cstheme="minorHAnsi"/>
          <w:i/>
          <w:iCs/>
        </w:rPr>
        <w:t xml:space="preserve"> from S. Ortiz, 2008 and 2014)</w:t>
      </w:r>
    </w:p>
    <w:p w14:paraId="183F8880" w14:textId="77777777" w:rsidR="00643156" w:rsidRDefault="00643156" w:rsidP="00643156">
      <w:pPr>
        <w:rPr>
          <w:rFonts w:ascii="Cambria" w:eastAsia="Times New Roman" w:hAnsi="Cambria" w:cstheme="minorHAnsi"/>
          <w:b/>
          <w:bCs/>
        </w:rPr>
      </w:pPr>
    </w:p>
    <w:p w14:paraId="58645F54" w14:textId="77777777" w:rsidR="00643156" w:rsidRDefault="00643156" w:rsidP="00643156">
      <w:pPr>
        <w:rPr>
          <w:rFonts w:ascii="Cambria" w:eastAsia="Times New Roman" w:hAnsi="Cambria" w:cstheme="minorHAnsi"/>
          <w:b/>
          <w:bCs/>
        </w:rPr>
      </w:pPr>
      <w:r>
        <w:rPr>
          <w:rFonts w:ascii="Cambria" w:eastAsia="Times New Roman" w:hAnsi="Cambria" w:cstheme="minorHAnsi"/>
          <w:b/>
          <w:bCs/>
        </w:rPr>
        <w:t>Quality Indicators for Assessing English Learners</w:t>
      </w:r>
    </w:p>
    <w:p w14:paraId="1DAA08A3" w14:textId="77777777" w:rsidR="00643156" w:rsidRDefault="00643156" w:rsidP="00643156">
      <w:pPr>
        <w:rPr>
          <w:rFonts w:ascii="Cambria" w:eastAsia="Times New Roman" w:hAnsi="Cambria" w:cstheme="minorHAnsi"/>
          <w:b/>
          <w:bCs/>
        </w:rPr>
      </w:pPr>
    </w:p>
    <w:p w14:paraId="1F1A1701"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Ensure parent involvement.</w:t>
      </w:r>
    </w:p>
    <w:p w14:paraId="46F14745"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Conduct bilingual assessment.</w:t>
      </w:r>
    </w:p>
    <w:p w14:paraId="31480DF7"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Assess and evaluate the student’s developmental language proficiency in both L1 and L2.  What are the family’s patterns of use of L1 and L2?</w:t>
      </w:r>
    </w:p>
    <w:p w14:paraId="344C85C9"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Ensure the evaluator has knowledge related to second language acquisition.</w:t>
      </w:r>
    </w:p>
    <w:p w14:paraId="76B54DAD"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Use alternative assessment procedures. Use both formal and informal assessment.</w:t>
      </w:r>
    </w:p>
    <w:p w14:paraId="2471E800" w14:textId="77777777" w:rsidR="00643156" w:rsidRPr="008A54D8"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Minimize the use of standardized tests.  Assessments should be conducted in both the student’s L1 and L2.</w:t>
      </w:r>
    </w:p>
    <w:p w14:paraId="40DE0F1B" w14:textId="77777777" w:rsidR="00643156" w:rsidRDefault="00643156" w:rsidP="00643156">
      <w:pPr>
        <w:numPr>
          <w:ilvl w:val="0"/>
          <w:numId w:val="3"/>
        </w:numPr>
        <w:rPr>
          <w:rFonts w:ascii="Cambria" w:eastAsia="Times New Roman" w:hAnsi="Cambria" w:cstheme="minorHAnsi"/>
        </w:rPr>
      </w:pPr>
      <w:r w:rsidRPr="008A54D8">
        <w:rPr>
          <w:rFonts w:ascii="Cambria" w:eastAsia="Times New Roman" w:hAnsi="Cambria" w:cstheme="minorHAnsi"/>
        </w:rPr>
        <w:t xml:space="preserve">Correlate standardized assessment results with informal assessment and intervention outcomes, referral reason, and student’s acculturation and bilingual development, as well as academic achievement history. </w:t>
      </w:r>
    </w:p>
    <w:p w14:paraId="21F6671C" w14:textId="77777777" w:rsidR="00643156" w:rsidRPr="008A54D8" w:rsidRDefault="00643156" w:rsidP="00643156">
      <w:pPr>
        <w:ind w:left="360"/>
        <w:rPr>
          <w:rFonts w:ascii="Cambria" w:eastAsia="Times New Roman" w:hAnsi="Cambria" w:cstheme="minorHAnsi"/>
          <w:i/>
          <w:iCs/>
        </w:rPr>
      </w:pPr>
      <w:r w:rsidRPr="008A54D8">
        <w:rPr>
          <w:rFonts w:ascii="Cambria" w:eastAsia="Times New Roman" w:hAnsi="Cambria" w:cstheme="minorHAnsi"/>
          <w:i/>
          <w:iCs/>
        </w:rPr>
        <w:t>(</w:t>
      </w:r>
      <w:proofErr w:type="gramStart"/>
      <w:r w:rsidRPr="008A54D8">
        <w:rPr>
          <w:rFonts w:ascii="Cambria" w:eastAsia="Times New Roman" w:hAnsi="Cambria" w:cstheme="minorHAnsi"/>
          <w:i/>
          <w:iCs/>
        </w:rPr>
        <w:t>adapted</w:t>
      </w:r>
      <w:proofErr w:type="gramEnd"/>
      <w:r w:rsidRPr="008A54D8">
        <w:rPr>
          <w:rFonts w:ascii="Cambria" w:eastAsia="Times New Roman" w:hAnsi="Cambria" w:cstheme="minorHAnsi"/>
          <w:i/>
          <w:iCs/>
        </w:rPr>
        <w:t xml:space="preserve"> from M. Villegas-Gutierrez, 2015)</w:t>
      </w:r>
    </w:p>
    <w:p w14:paraId="2BC56B56" w14:textId="77777777" w:rsidR="00643156" w:rsidRPr="008A10C0" w:rsidRDefault="00643156" w:rsidP="00643156">
      <w:pPr>
        <w:spacing w:before="100" w:beforeAutospacing="1" w:after="100" w:afterAutospacing="1"/>
        <w:rPr>
          <w:rFonts w:ascii="Cambria" w:eastAsia="Times New Roman" w:hAnsi="Cambria" w:cstheme="minorHAnsi"/>
        </w:rPr>
      </w:pPr>
      <w:r w:rsidRPr="008A10C0">
        <w:rPr>
          <w:rFonts w:ascii="Cambria" w:eastAsia="Times New Roman" w:hAnsi="Cambria" w:cstheme="minorHAnsi"/>
          <w:b/>
          <w:bCs/>
        </w:rPr>
        <w:t>Considerations When Applying Decision Rules</w:t>
      </w:r>
    </w:p>
    <w:p w14:paraId="4FB38AD9" w14:textId="77777777" w:rsidR="00643156" w:rsidRPr="008A10C0" w:rsidRDefault="00643156" w:rsidP="00643156">
      <w:p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The following are six important questions and/or exclusionary factors to consider when applying decision rules to a Cultural and Language Diverse (CLD) student’s performance: </w:t>
      </w:r>
    </w:p>
    <w:p w14:paraId="35E2810C"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Can the CLD student’s learning and/or behavior problems be attributed to exclusionary factors such as: </w:t>
      </w:r>
    </w:p>
    <w:p w14:paraId="4D7D7782"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Socio-cultural differences (e.g., world view, low level of acculturation)? </w:t>
      </w:r>
    </w:p>
    <w:p w14:paraId="615EA15F"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Economic disadvantage? </w:t>
      </w:r>
    </w:p>
    <w:p w14:paraId="0661AFFA"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Lack of instruction/inconsistent schooling? </w:t>
      </w:r>
    </w:p>
    <w:p w14:paraId="6CA8C3F6"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Inappropriate instruction? </w:t>
      </w:r>
    </w:p>
    <w:p w14:paraId="2172B2C6"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Ecological/environmental issues in the classroom? </w:t>
      </w:r>
    </w:p>
    <w:p w14:paraId="484119E4"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lastRenderedPageBreak/>
        <w:t xml:space="preserve">Typical second language acquisition stages? </w:t>
      </w:r>
    </w:p>
    <w:p w14:paraId="048B1001" w14:textId="77777777" w:rsidR="00643156" w:rsidRPr="008A10C0" w:rsidRDefault="00643156" w:rsidP="00643156">
      <w:pPr>
        <w:numPr>
          <w:ilvl w:val="1"/>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Lack of social/academic language exposure?</w:t>
      </w:r>
      <w:r w:rsidRPr="008A10C0">
        <w:rPr>
          <w:rFonts w:ascii="Cambria" w:eastAsia="Times New Roman" w:hAnsi="Cambria" w:cstheme="minorHAnsi"/>
        </w:rPr>
        <w:br/>
        <w:t xml:space="preserve">If yes to any of the above, then the student should not be considered for RTI Tier II/Tier III or special education but should receive educational supports by way of regular classroom accommodations, bilingual services, and/or other school district programs for which the student qualifies. </w:t>
      </w:r>
    </w:p>
    <w:p w14:paraId="65F1B779"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Has consideration been given to the influence that past and/or present instructional programs have had on current academic performance? </w:t>
      </w:r>
    </w:p>
    <w:p w14:paraId="0518973E" w14:textId="77777777" w:rsidR="00643156" w:rsidRPr="008A10C0" w:rsidRDefault="00643156" w:rsidP="00643156">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ensure that the CLD student has received an adequate opportunity to learn as this is a prerequisite to RTI and/or special education services. </w:t>
      </w:r>
    </w:p>
    <w:p w14:paraId="1B6EE9C9"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Is the student’s English proficiency high enough to yield accurate levels of performance? </w:t>
      </w:r>
    </w:p>
    <w:p w14:paraId="090B89B5" w14:textId="77777777" w:rsidR="00643156" w:rsidRPr="008A10C0" w:rsidRDefault="00643156" w:rsidP="00643156">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assess for language loss, language shift or attrition. Monitor progress in both languages and make decisions based on student’s stronger language. </w:t>
      </w:r>
    </w:p>
    <w:p w14:paraId="1AAE9563"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adjustments for pace of instruction, oral responses, test taking, and interventions implemented to achieve optimum performance due to slower mental processing in the CLD student’s less proficient language? </w:t>
      </w:r>
    </w:p>
    <w:p w14:paraId="36A5A605" w14:textId="77777777" w:rsidR="00643156" w:rsidRPr="008A10C0" w:rsidRDefault="00643156" w:rsidP="00643156">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make adjustments for slower auditory memory, slower reading speed, and slower oral comprehension. </w:t>
      </w:r>
    </w:p>
    <w:p w14:paraId="0BDEEA5B"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multiple measures of performance taken so as not to make decisions based on only one aspect of performance? </w:t>
      </w:r>
    </w:p>
    <w:p w14:paraId="01D1650D" w14:textId="77777777" w:rsidR="00643156" w:rsidRPr="008A10C0" w:rsidRDefault="00643156" w:rsidP="00643156">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make frequent progress monitoring probes especially when phonemic awareness is emphasized. </w:t>
      </w:r>
    </w:p>
    <w:p w14:paraId="5ADBAC9D" w14:textId="77777777" w:rsidR="00643156" w:rsidRPr="008A10C0" w:rsidRDefault="00643156" w:rsidP="00643156">
      <w:pPr>
        <w:numPr>
          <w:ilvl w:val="0"/>
          <w:numId w:val="4"/>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culturally responsive research-based interventions implemented with integrity/fidelity by a professional competent in the oral and written skills of the student’s language being assessed and who also has knowledge and understanding of the second language acquisition process and student’s cultural and linguistic background? </w:t>
      </w:r>
    </w:p>
    <w:p w14:paraId="3879E977" w14:textId="77777777" w:rsidR="00643156" w:rsidRPr="008A10C0" w:rsidRDefault="00643156" w:rsidP="00643156">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collaborate with a bilingual/bicultural professional knowledgeable about acculturation, second language acquisition, and culturally responsive instructional practices to develop or select suitable research-based interventions. </w:t>
      </w:r>
    </w:p>
    <w:p w14:paraId="450A0097" w14:textId="2AA25DEC" w:rsidR="00643156" w:rsidRDefault="00643156" w:rsidP="00643156">
      <w:pPr>
        <w:rPr>
          <w:rFonts w:ascii="Cambria" w:eastAsia="Times New Roman" w:hAnsi="Cambria" w:cstheme="minorHAnsi"/>
        </w:rPr>
      </w:pPr>
      <w:r w:rsidRPr="008A10C0">
        <w:rPr>
          <w:rFonts w:ascii="Cambria" w:eastAsia="Times New Roman" w:hAnsi="Cambria" w:cstheme="minorHAnsi"/>
        </w:rPr>
        <w:t>(</w:t>
      </w:r>
      <w:proofErr w:type="gramStart"/>
      <w:r w:rsidRPr="008A10C0">
        <w:rPr>
          <w:rFonts w:ascii="Cambria" w:eastAsia="Times New Roman" w:hAnsi="Cambria" w:cstheme="minorHAnsi"/>
        </w:rPr>
        <w:t>adapted</w:t>
      </w:r>
      <w:proofErr w:type="gramEnd"/>
      <w:r w:rsidRPr="008A10C0">
        <w:rPr>
          <w:rFonts w:ascii="Cambria" w:eastAsia="Times New Roman" w:hAnsi="Cambria" w:cstheme="minorHAnsi"/>
        </w:rPr>
        <w:t xml:space="preserve"> from Figueroa and Newsome, 2006)</w:t>
      </w:r>
    </w:p>
    <w:p w14:paraId="31F9EBBF" w14:textId="5BD5BD07" w:rsidR="00643156" w:rsidRDefault="00643156" w:rsidP="00643156">
      <w:pPr>
        <w:rPr>
          <w:rFonts w:ascii="Cambria" w:eastAsia="Times New Roman" w:hAnsi="Cambria" w:cstheme="minorHAnsi"/>
        </w:rPr>
      </w:pPr>
    </w:p>
    <w:p w14:paraId="2667EFB8" w14:textId="77777777" w:rsidR="00643156" w:rsidRDefault="00643156">
      <w:pPr>
        <w:rPr>
          <w:rFonts w:ascii="Cambria" w:hAnsi="Cambria" w:cstheme="minorHAnsi"/>
          <w:b/>
          <w:bCs/>
        </w:rPr>
      </w:pPr>
      <w:r>
        <w:rPr>
          <w:rFonts w:ascii="Cambria" w:hAnsi="Cambria" w:cstheme="minorHAnsi"/>
          <w:b/>
          <w:bCs/>
        </w:rPr>
        <w:br w:type="page"/>
      </w:r>
    </w:p>
    <w:p w14:paraId="7416A278" w14:textId="0D5C3B9F" w:rsidR="00643156" w:rsidRPr="008A10C0" w:rsidRDefault="00643156" w:rsidP="00643156">
      <w:pPr>
        <w:jc w:val="center"/>
        <w:rPr>
          <w:rFonts w:ascii="Cambria" w:hAnsi="Cambria" w:cstheme="minorHAnsi"/>
          <w:b/>
          <w:bCs/>
        </w:rPr>
      </w:pPr>
      <w:r w:rsidRPr="008A10C0">
        <w:rPr>
          <w:rFonts w:ascii="Cambria" w:hAnsi="Cambria" w:cstheme="minorHAnsi"/>
          <w:b/>
          <w:bCs/>
        </w:rPr>
        <w:lastRenderedPageBreak/>
        <w:t>References</w:t>
      </w:r>
    </w:p>
    <w:p w14:paraId="2363D2A7" w14:textId="77777777" w:rsidR="00643156" w:rsidRPr="008A10C0" w:rsidRDefault="00643156" w:rsidP="00643156">
      <w:pPr>
        <w:rPr>
          <w:rFonts w:ascii="Cambria" w:hAnsi="Cambria" w:cstheme="minorHAnsi"/>
        </w:rPr>
      </w:pPr>
    </w:p>
    <w:p w14:paraId="47950A4A" w14:textId="77777777" w:rsidR="00643156" w:rsidRPr="008A10C0" w:rsidRDefault="00643156" w:rsidP="00643156">
      <w:pPr>
        <w:rPr>
          <w:rFonts w:ascii="Cambria" w:hAnsi="Cambria" w:cstheme="minorHAnsi"/>
        </w:rPr>
      </w:pPr>
      <w:r w:rsidRPr="006C40DB">
        <w:rPr>
          <w:rFonts w:ascii="Cambria" w:hAnsi="Cambria" w:cstheme="minorHAnsi"/>
        </w:rPr>
        <w:t>Figueroa, Richard and Newsome, Patricia (2006)</w:t>
      </w:r>
      <w:r w:rsidRPr="008A10C0">
        <w:rPr>
          <w:rFonts w:ascii="Cambria" w:hAnsi="Cambria" w:cstheme="minorHAnsi"/>
        </w:rPr>
        <w:t xml:space="preserve">. </w:t>
      </w:r>
      <w:r w:rsidRPr="006C40DB">
        <w:rPr>
          <w:rFonts w:ascii="Cambria" w:hAnsi="Cambria" w:cstheme="minorHAnsi"/>
        </w:rPr>
        <w:t xml:space="preserve"> Journal of Learning Disabilities. May-Jun 2006;39(3):206-14.</w:t>
      </w:r>
    </w:p>
    <w:p w14:paraId="3BB88682" w14:textId="77777777" w:rsidR="00643156" w:rsidRPr="008A10C0" w:rsidRDefault="00643156" w:rsidP="00643156">
      <w:pPr>
        <w:rPr>
          <w:rFonts w:ascii="Cambria" w:hAnsi="Cambria" w:cstheme="minorHAnsi"/>
        </w:rPr>
      </w:pPr>
    </w:p>
    <w:p w14:paraId="310D09F6" w14:textId="77777777" w:rsidR="00643156" w:rsidRPr="006C40DB" w:rsidRDefault="00643156" w:rsidP="00643156">
      <w:pPr>
        <w:rPr>
          <w:rFonts w:ascii="Cambria" w:hAnsi="Cambria" w:cstheme="minorHAnsi"/>
        </w:rPr>
      </w:pPr>
      <w:r w:rsidRPr="006C40DB">
        <w:rPr>
          <w:rFonts w:ascii="Cambria" w:hAnsi="Cambria" w:cstheme="minorHAnsi"/>
        </w:rPr>
        <w:t xml:space="preserve">Ortiz, S. O. (2008). Best practices in nondiscriminatory assessment. In A. Thomas &amp; J. Grimes (Eds.) </w:t>
      </w:r>
      <w:r w:rsidRPr="006C40DB">
        <w:rPr>
          <w:rFonts w:ascii="Cambria" w:hAnsi="Cambria" w:cstheme="minorHAnsi"/>
          <w:i/>
          <w:iCs/>
        </w:rPr>
        <w:t>Best practices in school psychology V</w:t>
      </w:r>
      <w:r w:rsidRPr="006C40DB">
        <w:rPr>
          <w:rFonts w:ascii="Cambria" w:hAnsi="Cambria" w:cstheme="minorHAnsi"/>
        </w:rPr>
        <w:t xml:space="preserve">, (pp. 661-678). Washington, DC: National Association of School Psychologists. </w:t>
      </w:r>
    </w:p>
    <w:p w14:paraId="5C43E8F3" w14:textId="77777777" w:rsidR="00643156" w:rsidRPr="008A10C0" w:rsidRDefault="00643156" w:rsidP="00643156">
      <w:pPr>
        <w:rPr>
          <w:rFonts w:ascii="Cambria" w:hAnsi="Cambria" w:cstheme="minorHAnsi"/>
        </w:rPr>
      </w:pPr>
    </w:p>
    <w:p w14:paraId="344C902A" w14:textId="77777777" w:rsidR="00643156" w:rsidRPr="006C40DB" w:rsidRDefault="00643156" w:rsidP="00643156">
      <w:pPr>
        <w:rPr>
          <w:rFonts w:ascii="Cambria" w:hAnsi="Cambria" w:cstheme="minorHAnsi"/>
        </w:rPr>
      </w:pPr>
      <w:r w:rsidRPr="006C40DB">
        <w:rPr>
          <w:rFonts w:ascii="Cambria" w:hAnsi="Cambria" w:cstheme="minorHAnsi"/>
        </w:rPr>
        <w:t xml:space="preserve">Ortiz, S. O. (2014). Best practices in nondiscriminatory assessment. In P. Harrison &amp; A. Thomas (Eds.) </w:t>
      </w:r>
      <w:r w:rsidRPr="006C40DB">
        <w:rPr>
          <w:rFonts w:ascii="Cambria" w:hAnsi="Cambria" w:cstheme="minorHAnsi"/>
          <w:i/>
          <w:iCs/>
        </w:rPr>
        <w:t xml:space="preserve">Best practices in school psychology: Foundations (61-74).  </w:t>
      </w:r>
      <w:r w:rsidRPr="006C40DB">
        <w:rPr>
          <w:rFonts w:ascii="Cambria" w:hAnsi="Cambria" w:cstheme="minorHAnsi"/>
        </w:rPr>
        <w:t xml:space="preserve">Washington, DC: National Association of School Psychologists. </w:t>
      </w:r>
    </w:p>
    <w:p w14:paraId="78436595" w14:textId="77777777" w:rsidR="00643156" w:rsidRPr="008A10C0" w:rsidRDefault="00643156" w:rsidP="00643156">
      <w:pPr>
        <w:rPr>
          <w:rFonts w:ascii="Cambria" w:hAnsi="Cambria" w:cstheme="minorHAnsi"/>
        </w:rPr>
      </w:pPr>
    </w:p>
    <w:p w14:paraId="4C9D0C86" w14:textId="77777777" w:rsidR="00643156" w:rsidRPr="006C40DB" w:rsidRDefault="00643156" w:rsidP="00643156">
      <w:pPr>
        <w:rPr>
          <w:rFonts w:ascii="Cambria" w:hAnsi="Cambria" w:cstheme="minorHAnsi"/>
        </w:rPr>
      </w:pPr>
      <w:r w:rsidRPr="006C40DB">
        <w:rPr>
          <w:rFonts w:ascii="Cambria" w:hAnsi="Cambria" w:cstheme="minorHAnsi"/>
        </w:rPr>
        <w:t>Villegas-Gutierrez, M. (2015). Special education assessment process for Culturally and Linguistically Diverse (CLD) Students, 2015 Update. Monmouth, OR: Education Evaluation Center, Teaching Research Institute, Western Oregon University.</w:t>
      </w:r>
    </w:p>
    <w:p w14:paraId="3FF65336" w14:textId="77777777" w:rsidR="00643156" w:rsidRPr="006C40DB" w:rsidRDefault="00643156" w:rsidP="00643156">
      <w:pPr>
        <w:rPr>
          <w:rFonts w:ascii="Cambria" w:hAnsi="Cambria" w:cstheme="minorHAnsi"/>
        </w:rPr>
      </w:pPr>
    </w:p>
    <w:p w14:paraId="33D07702" w14:textId="77777777" w:rsidR="00B57B80" w:rsidRDefault="00B57B80" w:rsidP="00E2770D">
      <w:pPr>
        <w:jc w:val="center"/>
        <w:rPr>
          <w:rFonts w:ascii="Cambria" w:hAnsi="Cambria" w:cstheme="minorHAnsi"/>
          <w:b/>
          <w:bCs/>
        </w:rPr>
      </w:pPr>
    </w:p>
    <w:p w14:paraId="4046FE2B" w14:textId="77777777" w:rsidR="00B57B80" w:rsidRDefault="00B57B80" w:rsidP="00E2770D">
      <w:pPr>
        <w:jc w:val="center"/>
        <w:rPr>
          <w:rFonts w:ascii="Cambria" w:hAnsi="Cambria" w:cstheme="minorHAnsi"/>
          <w:b/>
          <w:bCs/>
        </w:rPr>
      </w:pPr>
    </w:p>
    <w:p w14:paraId="67E312FC" w14:textId="5F725580" w:rsidR="00643156" w:rsidRDefault="00E2770D" w:rsidP="00E2770D">
      <w:pPr>
        <w:jc w:val="center"/>
        <w:rPr>
          <w:rFonts w:ascii="Cambria" w:hAnsi="Cambria" w:cstheme="minorHAnsi"/>
          <w:b/>
          <w:bCs/>
        </w:rPr>
      </w:pPr>
      <w:r w:rsidRPr="00E2770D">
        <w:rPr>
          <w:rFonts w:ascii="Cambria" w:hAnsi="Cambria" w:cstheme="minorHAnsi"/>
          <w:b/>
          <w:bCs/>
        </w:rPr>
        <w:t>Resources</w:t>
      </w:r>
    </w:p>
    <w:p w14:paraId="7FA15939" w14:textId="77777777" w:rsidR="00B57B80" w:rsidRPr="00E2770D" w:rsidRDefault="00B57B80" w:rsidP="00E2770D">
      <w:pPr>
        <w:jc w:val="center"/>
        <w:rPr>
          <w:rFonts w:ascii="Cambria" w:hAnsi="Cambria" w:cstheme="minorHAnsi"/>
          <w:b/>
          <w:bCs/>
        </w:rPr>
      </w:pPr>
    </w:p>
    <w:p w14:paraId="2D43FBCF" w14:textId="77777777" w:rsidR="00B57B80" w:rsidRPr="00B57B80" w:rsidRDefault="00B57B80" w:rsidP="00B57B80">
      <w:pPr>
        <w:rPr>
          <w:rFonts w:ascii="Cambria" w:hAnsi="Cambria" w:cstheme="minorHAnsi"/>
        </w:rPr>
      </w:pPr>
      <w:proofErr w:type="spellStart"/>
      <w:r w:rsidRPr="00B57B80">
        <w:rPr>
          <w:rFonts w:ascii="Cambria" w:hAnsi="Cambria" w:cstheme="minorHAnsi"/>
        </w:rPr>
        <w:t>AIMSweb</w:t>
      </w:r>
      <w:proofErr w:type="spellEnd"/>
      <w:r w:rsidRPr="00B57B80">
        <w:rPr>
          <w:rFonts w:ascii="Cambria" w:hAnsi="Cambria" w:cstheme="minorHAnsi"/>
        </w:rPr>
        <w:t xml:space="preserve"> ELL Sample Report 2012.  Retrieved from </w:t>
      </w:r>
      <w:hyperlink r:id="rId8" w:history="1">
        <w:r w:rsidRPr="00B57B80">
          <w:rPr>
            <w:rStyle w:val="Hyperlink"/>
            <w:rFonts w:ascii="Cambria" w:hAnsi="Cambria" w:cstheme="minorHAnsi"/>
          </w:rPr>
          <w:t>http://www.aimsweb.com/wp-content/uploads/AIMSweb_ELL_SampleReport_2012.pdf</w:t>
        </w:r>
      </w:hyperlink>
    </w:p>
    <w:p w14:paraId="5E788FAF" w14:textId="77777777" w:rsidR="00B57B80" w:rsidRDefault="00B57B80" w:rsidP="00B57B80">
      <w:pPr>
        <w:rPr>
          <w:rFonts w:ascii="Cambria" w:hAnsi="Cambria" w:cstheme="minorHAnsi"/>
        </w:rPr>
      </w:pPr>
    </w:p>
    <w:p w14:paraId="241FF5C3" w14:textId="6BE8D677" w:rsidR="00B57B80" w:rsidRPr="00B57B80" w:rsidRDefault="00B57B80" w:rsidP="00B57B80">
      <w:pPr>
        <w:rPr>
          <w:rFonts w:ascii="Cambria" w:hAnsi="Cambria" w:cstheme="minorHAnsi"/>
        </w:rPr>
      </w:pPr>
      <w:r w:rsidRPr="00B57B80">
        <w:rPr>
          <w:rFonts w:ascii="Cambria" w:hAnsi="Cambria" w:cstheme="minorHAnsi"/>
        </w:rPr>
        <w:t xml:space="preserve">Brown, J. E., &amp; Sanford, A. (2011). </w:t>
      </w:r>
      <w:r w:rsidRPr="00B57B80">
        <w:rPr>
          <w:rFonts w:ascii="Cambria" w:hAnsi="Cambria" w:cstheme="minorHAnsi"/>
          <w:i/>
          <w:iCs/>
        </w:rPr>
        <w:t xml:space="preserve">RTI for English language learners: Appropriately using screening and progress monitoring tools to improve instructional outcomes. </w:t>
      </w:r>
      <w:r w:rsidRPr="00B57B80">
        <w:rPr>
          <w:rFonts w:ascii="Cambria" w:hAnsi="Cambria" w:cstheme="minorHAnsi"/>
        </w:rPr>
        <w:t xml:space="preserve">Washington, DC: National Center on Response to Intervention. Available at </w:t>
      </w:r>
      <w:hyperlink r:id="rId9" w:history="1">
        <w:r w:rsidRPr="00B57B80">
          <w:rPr>
            <w:rStyle w:val="Hyperlink"/>
            <w:rFonts w:ascii="Cambria" w:hAnsi="Cambria" w:cstheme="minorHAnsi"/>
          </w:rPr>
          <w:t>http://www.rti4success.orgresourcetype/rti-english-language-learners-appropriately-using-screening-and-progress-monitoring-tools</w:t>
        </w:r>
      </w:hyperlink>
    </w:p>
    <w:p w14:paraId="286C735E" w14:textId="77777777" w:rsidR="00B57B80" w:rsidRDefault="00B57B80" w:rsidP="00B57B80">
      <w:pPr>
        <w:rPr>
          <w:rFonts w:ascii="Cambria" w:hAnsi="Cambria" w:cstheme="minorHAnsi"/>
        </w:rPr>
      </w:pPr>
    </w:p>
    <w:p w14:paraId="79241134" w14:textId="522D2189" w:rsidR="00B57B80" w:rsidRPr="00B57B80" w:rsidRDefault="00B57B80" w:rsidP="00B57B80">
      <w:pPr>
        <w:rPr>
          <w:rFonts w:ascii="Cambria" w:hAnsi="Cambria" w:cstheme="minorHAnsi"/>
        </w:rPr>
      </w:pPr>
      <w:r w:rsidRPr="00B57B80">
        <w:rPr>
          <w:rFonts w:ascii="Cambria" w:hAnsi="Cambria" w:cstheme="minorHAnsi"/>
        </w:rPr>
        <w:t xml:space="preserve">Carvalho, Catharina, Dennison, Andrea, &amp; Estrella Ivonne (2014). Best practices in the assessment of English Language Learners. In P. Harrison &amp; A. Thomas (Eds.) </w:t>
      </w:r>
      <w:r w:rsidRPr="00B57B80">
        <w:rPr>
          <w:rFonts w:ascii="Cambria" w:hAnsi="Cambria" w:cstheme="minorHAnsi"/>
          <w:i/>
          <w:iCs/>
        </w:rPr>
        <w:t xml:space="preserve">Best practices in school psychology: Foundations (75-88).  </w:t>
      </w:r>
      <w:r w:rsidRPr="00B57B80">
        <w:rPr>
          <w:rFonts w:ascii="Cambria" w:hAnsi="Cambria" w:cstheme="minorHAnsi"/>
        </w:rPr>
        <w:t>Washington, DC: National Association of School Psychologists.</w:t>
      </w:r>
    </w:p>
    <w:p w14:paraId="09589513" w14:textId="77777777" w:rsidR="00B57B80" w:rsidRDefault="00B57B80" w:rsidP="00B57B80">
      <w:pPr>
        <w:rPr>
          <w:rFonts w:ascii="Cambria" w:hAnsi="Cambria" w:cstheme="minorHAnsi"/>
        </w:rPr>
      </w:pPr>
    </w:p>
    <w:p w14:paraId="77B4F026" w14:textId="63929485" w:rsidR="00B57B80" w:rsidRPr="00B57B80" w:rsidRDefault="00B57B80" w:rsidP="00B57B80">
      <w:pPr>
        <w:rPr>
          <w:rFonts w:ascii="Cambria" w:hAnsi="Cambria" w:cstheme="minorHAnsi"/>
        </w:rPr>
      </w:pPr>
      <w:r w:rsidRPr="00B57B80">
        <w:rPr>
          <w:rFonts w:ascii="Cambria" w:hAnsi="Cambria" w:cstheme="minorHAnsi"/>
        </w:rPr>
        <w:t xml:space="preserve">Cummins, J. (1981). “The Role of Primary Language Development in Promoting Educational Success for Language Minority Students.” In </w:t>
      </w:r>
      <w:r w:rsidRPr="00B57B80">
        <w:rPr>
          <w:rFonts w:ascii="Cambria" w:hAnsi="Cambria" w:cstheme="minorHAnsi"/>
          <w:i/>
          <w:iCs/>
        </w:rPr>
        <w:t>Schooling and Language Minority Students: A Theoretical Framework</w:t>
      </w:r>
      <w:r w:rsidRPr="00B57B80">
        <w:rPr>
          <w:rFonts w:ascii="Cambria" w:hAnsi="Cambria" w:cstheme="minorHAnsi"/>
        </w:rPr>
        <w:t>, edited by the California State Department of Education Office of Bilingual Bicultural Education. Los Angeles, CA: Evaluation, Dissemination and Assessment Center, California State University.</w:t>
      </w:r>
    </w:p>
    <w:p w14:paraId="28675945" w14:textId="77777777" w:rsidR="00B57B80" w:rsidRDefault="00B57B80" w:rsidP="00B57B80">
      <w:pPr>
        <w:rPr>
          <w:rFonts w:ascii="Cambria" w:hAnsi="Cambria" w:cstheme="minorHAnsi"/>
        </w:rPr>
      </w:pPr>
    </w:p>
    <w:p w14:paraId="736DD02C" w14:textId="265BBCD1" w:rsidR="00B57B80" w:rsidRPr="00B57B80" w:rsidRDefault="00B57B80" w:rsidP="00B57B80">
      <w:pPr>
        <w:rPr>
          <w:rFonts w:ascii="Cambria" w:hAnsi="Cambria" w:cstheme="minorHAnsi"/>
        </w:rPr>
      </w:pPr>
      <w:r w:rsidRPr="00B57B80">
        <w:rPr>
          <w:rFonts w:ascii="Cambria" w:hAnsi="Cambria" w:cstheme="minorHAnsi"/>
        </w:rPr>
        <w:t xml:space="preserve">Cummins, J., and M. Swain. (1986). </w:t>
      </w:r>
      <w:r w:rsidRPr="00B57B80">
        <w:rPr>
          <w:rFonts w:ascii="Cambria" w:hAnsi="Cambria" w:cstheme="minorHAnsi"/>
          <w:i/>
          <w:iCs/>
        </w:rPr>
        <w:t>Bilingualism in Education: Aspects of Theory, Research and Policy</w:t>
      </w:r>
      <w:r w:rsidRPr="00B57B80">
        <w:rPr>
          <w:rFonts w:ascii="Cambria" w:hAnsi="Cambria" w:cstheme="minorHAnsi"/>
        </w:rPr>
        <w:t>. London: Longman.</w:t>
      </w:r>
    </w:p>
    <w:p w14:paraId="31C189B0" w14:textId="1FD88083" w:rsidR="00643156" w:rsidRDefault="00643156" w:rsidP="00643156">
      <w:pPr>
        <w:rPr>
          <w:rFonts w:ascii="Cambria" w:hAnsi="Cambria" w:cstheme="minorHAnsi"/>
        </w:rPr>
      </w:pPr>
    </w:p>
    <w:p w14:paraId="1DE24CA5" w14:textId="77777777" w:rsidR="00B57B80" w:rsidRPr="00B57B80" w:rsidRDefault="00B57B80" w:rsidP="00B57B80">
      <w:pPr>
        <w:rPr>
          <w:rFonts w:ascii="Cambria" w:hAnsi="Cambria" w:cstheme="minorHAnsi"/>
        </w:rPr>
      </w:pPr>
      <w:proofErr w:type="spellStart"/>
      <w:r w:rsidRPr="00B57B80">
        <w:rPr>
          <w:rFonts w:ascii="Cambria" w:hAnsi="Cambria" w:cstheme="minorHAnsi"/>
        </w:rPr>
        <w:t>Gersten</w:t>
      </w:r>
      <w:proofErr w:type="spellEnd"/>
      <w:r w:rsidRPr="00B57B80">
        <w:rPr>
          <w:rFonts w:ascii="Cambria" w:hAnsi="Cambria" w:cstheme="minorHAnsi"/>
        </w:rPr>
        <w:t xml:space="preserve">, R., Baker, S.K., Shanahan, T., </w:t>
      </w:r>
      <w:proofErr w:type="spellStart"/>
      <w:r w:rsidRPr="00B57B80">
        <w:rPr>
          <w:rFonts w:ascii="Cambria" w:hAnsi="Cambria" w:cstheme="minorHAnsi"/>
        </w:rPr>
        <w:t>Linan</w:t>
      </w:r>
      <w:proofErr w:type="spellEnd"/>
      <w:r w:rsidRPr="00B57B80">
        <w:rPr>
          <w:rFonts w:ascii="Cambria" w:hAnsi="Cambria" w:cstheme="minorHAnsi"/>
        </w:rPr>
        <w:t xml:space="preserve">-Thompson, S., Collins, P., &amp; Scarcella, R. (2007). </w:t>
      </w:r>
      <w:r w:rsidRPr="00B57B80">
        <w:rPr>
          <w:rFonts w:ascii="Cambria" w:hAnsi="Cambria" w:cstheme="minorHAnsi"/>
          <w:i/>
          <w:iCs/>
        </w:rPr>
        <w:t xml:space="preserve">Effective Literacy and English Language Instruction for English Learners in </w:t>
      </w:r>
      <w:r w:rsidRPr="00B57B80">
        <w:rPr>
          <w:rFonts w:ascii="Cambria" w:hAnsi="Cambria" w:cstheme="minorHAnsi"/>
          <w:i/>
          <w:iCs/>
        </w:rPr>
        <w:lastRenderedPageBreak/>
        <w:t xml:space="preserve">the Elementary Grades: A Practice Guide </w:t>
      </w:r>
      <w:r w:rsidRPr="00B57B80">
        <w:rPr>
          <w:rFonts w:ascii="Cambria" w:hAnsi="Cambria" w:cstheme="minorHAnsi"/>
        </w:rPr>
        <w:t xml:space="preserve">(NCEE 2007-4011). Washington, DC: National Center for Education Evaluation and Regional Assistance, Institute of Education Sciences, U.S. Department of Education. Retrieved </w:t>
      </w:r>
      <w:proofErr w:type="spellStart"/>
      <w:r w:rsidRPr="00B57B80">
        <w:rPr>
          <w:rFonts w:ascii="Cambria" w:hAnsi="Cambria" w:cstheme="minorHAnsi"/>
        </w:rPr>
        <w:t>from:</w:t>
      </w:r>
      <w:hyperlink r:id="rId10" w:history="1">
        <w:r w:rsidRPr="00B57B80">
          <w:rPr>
            <w:rStyle w:val="Hyperlink"/>
            <w:rFonts w:ascii="Cambria" w:hAnsi="Cambria" w:cstheme="minorHAnsi"/>
          </w:rPr>
          <w:t>http</w:t>
        </w:r>
        <w:proofErr w:type="spellEnd"/>
      </w:hyperlink>
      <w:hyperlink r:id="rId11" w:history="1">
        <w:r w:rsidRPr="00B57B80">
          <w:rPr>
            <w:rStyle w:val="Hyperlink"/>
            <w:rFonts w:ascii="Cambria" w:hAnsi="Cambria" w:cstheme="minorHAnsi"/>
          </w:rPr>
          <w:t>://ies.ed.gov/</w:t>
        </w:r>
        <w:proofErr w:type="spellStart"/>
        <w:r w:rsidRPr="00B57B80">
          <w:rPr>
            <w:rStyle w:val="Hyperlink"/>
            <w:rFonts w:ascii="Cambria" w:hAnsi="Cambria" w:cstheme="minorHAnsi"/>
          </w:rPr>
          <w:t>ncee</w:t>
        </w:r>
        <w:proofErr w:type="spellEnd"/>
        <w:r w:rsidRPr="00B57B80">
          <w:rPr>
            <w:rStyle w:val="Hyperlink"/>
            <w:rFonts w:ascii="Cambria" w:hAnsi="Cambria" w:cstheme="minorHAnsi"/>
          </w:rPr>
          <w:t>/</w:t>
        </w:r>
        <w:proofErr w:type="spellStart"/>
        <w:r w:rsidRPr="00B57B80">
          <w:rPr>
            <w:rStyle w:val="Hyperlink"/>
            <w:rFonts w:ascii="Cambria" w:hAnsi="Cambria" w:cstheme="minorHAnsi"/>
          </w:rPr>
          <w:t>wwc</w:t>
        </w:r>
        <w:proofErr w:type="spellEnd"/>
        <w:r w:rsidRPr="00B57B80">
          <w:rPr>
            <w:rStyle w:val="Hyperlink"/>
            <w:rFonts w:ascii="Cambria" w:hAnsi="Cambria" w:cstheme="minorHAnsi"/>
          </w:rPr>
          <w:t>/publications/</w:t>
        </w:r>
        <w:proofErr w:type="spellStart"/>
        <w:r w:rsidRPr="00B57B80">
          <w:rPr>
            <w:rStyle w:val="Hyperlink"/>
            <w:rFonts w:ascii="Cambria" w:hAnsi="Cambria" w:cstheme="minorHAnsi"/>
          </w:rPr>
          <w:t>practiceguides</w:t>
        </w:r>
        <w:proofErr w:type="spellEnd"/>
      </w:hyperlink>
    </w:p>
    <w:p w14:paraId="15464DD5" w14:textId="77777777" w:rsidR="00B57B80" w:rsidRDefault="00B57B80" w:rsidP="00B57B80">
      <w:pPr>
        <w:rPr>
          <w:rFonts w:ascii="Cambria" w:hAnsi="Cambria" w:cstheme="minorHAnsi"/>
        </w:rPr>
      </w:pPr>
    </w:p>
    <w:p w14:paraId="0DA30C0B" w14:textId="563A4A6E" w:rsidR="00B57B80" w:rsidRPr="00B57B80" w:rsidRDefault="00B57B80" w:rsidP="00B57B80">
      <w:pPr>
        <w:rPr>
          <w:rFonts w:ascii="Cambria" w:hAnsi="Cambria" w:cstheme="minorHAnsi"/>
        </w:rPr>
      </w:pPr>
      <w:proofErr w:type="spellStart"/>
      <w:r w:rsidRPr="00B57B80">
        <w:rPr>
          <w:rFonts w:ascii="Cambria" w:hAnsi="Cambria" w:cstheme="minorHAnsi"/>
        </w:rPr>
        <w:t>Hakuta</w:t>
      </w:r>
      <w:proofErr w:type="spellEnd"/>
      <w:r w:rsidRPr="00B57B80">
        <w:rPr>
          <w:rFonts w:ascii="Cambria" w:hAnsi="Cambria" w:cstheme="minorHAnsi"/>
        </w:rPr>
        <w:t xml:space="preserve">, Kenji, Butler, Yuko </w:t>
      </w:r>
      <w:proofErr w:type="spellStart"/>
      <w:r w:rsidRPr="00B57B80">
        <w:rPr>
          <w:rFonts w:ascii="Cambria" w:hAnsi="Cambria" w:cstheme="minorHAnsi"/>
        </w:rPr>
        <w:t>Goto</w:t>
      </w:r>
      <w:proofErr w:type="spellEnd"/>
      <w:r w:rsidRPr="00B57B80">
        <w:rPr>
          <w:rFonts w:ascii="Cambria" w:hAnsi="Cambria" w:cstheme="minorHAnsi"/>
        </w:rPr>
        <w:t>, and Witt, Daria (2000).  How long does it take English learners to attain proficiency?  University of California Linguistic Minority Research Institute, Policy Report 2000 – 1.</w:t>
      </w:r>
    </w:p>
    <w:p w14:paraId="28F951B0" w14:textId="77777777" w:rsidR="00B57B80" w:rsidRDefault="00B57B80" w:rsidP="00B57B80">
      <w:pPr>
        <w:rPr>
          <w:rFonts w:ascii="Cambria" w:hAnsi="Cambria" w:cstheme="minorHAnsi"/>
        </w:rPr>
      </w:pPr>
    </w:p>
    <w:p w14:paraId="4311BB04" w14:textId="45249F1F" w:rsidR="00B57B80" w:rsidRPr="00B57B80" w:rsidRDefault="00B57B80" w:rsidP="00B57B80">
      <w:pPr>
        <w:rPr>
          <w:rFonts w:ascii="Cambria" w:hAnsi="Cambria" w:cstheme="minorHAnsi"/>
        </w:rPr>
      </w:pPr>
      <w:r w:rsidRPr="00B57B80">
        <w:rPr>
          <w:rFonts w:ascii="Cambria" w:hAnsi="Cambria" w:cstheme="minorHAnsi"/>
        </w:rPr>
        <w:t>Learning Point Associates (2009).  Connecting Research about English Language Learners to Practice, an introductory guide for educators, August, 2009.</w:t>
      </w:r>
    </w:p>
    <w:p w14:paraId="73F2AE8B" w14:textId="77777777" w:rsidR="00B57B80" w:rsidRDefault="00B57B80" w:rsidP="00B57B80">
      <w:pPr>
        <w:rPr>
          <w:rFonts w:ascii="Cambria" w:hAnsi="Cambria" w:cstheme="minorHAnsi"/>
        </w:rPr>
      </w:pPr>
    </w:p>
    <w:p w14:paraId="1A406B10" w14:textId="7FBF9637" w:rsidR="00B57B80" w:rsidRPr="00B57B80" w:rsidRDefault="00B57B80" w:rsidP="00B57B80">
      <w:pPr>
        <w:rPr>
          <w:rFonts w:ascii="Cambria" w:hAnsi="Cambria" w:cstheme="minorHAnsi"/>
        </w:rPr>
      </w:pPr>
      <w:proofErr w:type="spellStart"/>
      <w:r w:rsidRPr="00B57B80">
        <w:rPr>
          <w:rFonts w:ascii="Cambria" w:hAnsi="Cambria" w:cstheme="minorHAnsi"/>
        </w:rPr>
        <w:t>Malarz</w:t>
      </w:r>
      <w:proofErr w:type="spellEnd"/>
      <w:r w:rsidRPr="00B57B80">
        <w:rPr>
          <w:rFonts w:ascii="Cambria" w:hAnsi="Cambria" w:cstheme="minorHAnsi"/>
        </w:rPr>
        <w:t xml:space="preserve">, Lynn, Bilingual Education: Effective Programming for Language-Minority Student, available online at: </w:t>
      </w:r>
      <w:hyperlink r:id="rId12" w:history="1">
        <w:r w:rsidRPr="00B57B80">
          <w:rPr>
            <w:rStyle w:val="Hyperlink"/>
            <w:rFonts w:ascii="Cambria" w:hAnsi="Cambria" w:cstheme="minorHAnsi"/>
          </w:rPr>
          <w:t>http://www.ascd.org/publications/curriculum_handbook/413/chapters/Bilingual_Education@_Effective_Programming_for_Language-Minority_Students.aspx</w:t>
        </w:r>
      </w:hyperlink>
    </w:p>
    <w:p w14:paraId="005D98A0" w14:textId="77777777" w:rsidR="00B57B80" w:rsidRDefault="00B57B80" w:rsidP="00B57B80">
      <w:pPr>
        <w:rPr>
          <w:rFonts w:ascii="Cambria" w:hAnsi="Cambria" w:cstheme="minorHAnsi"/>
        </w:rPr>
      </w:pPr>
    </w:p>
    <w:p w14:paraId="3457F9CA" w14:textId="401F005C" w:rsidR="00B57B80" w:rsidRPr="00B57B80" w:rsidRDefault="00B57B80" w:rsidP="00B57B80">
      <w:pPr>
        <w:rPr>
          <w:rFonts w:ascii="Cambria" w:hAnsi="Cambria" w:cstheme="minorHAnsi"/>
        </w:rPr>
      </w:pPr>
      <w:r w:rsidRPr="00B57B80">
        <w:rPr>
          <w:rFonts w:ascii="Cambria" w:hAnsi="Cambria" w:cstheme="minorHAnsi"/>
        </w:rPr>
        <w:t>Ortiz, Alba (2001).  English language learners with specials needs: Effective instructional strategies, ERIC Digest EDO-FL-01-08.</w:t>
      </w:r>
    </w:p>
    <w:p w14:paraId="4FC6F044" w14:textId="77777777" w:rsidR="00B57B80" w:rsidRPr="00643156" w:rsidRDefault="00B57B80" w:rsidP="00B57B80">
      <w:pPr>
        <w:rPr>
          <w:rFonts w:ascii="Cambria" w:hAnsi="Cambria" w:cstheme="minorHAnsi"/>
        </w:rPr>
      </w:pPr>
    </w:p>
    <w:sectPr w:rsidR="00B57B80" w:rsidRPr="00643156" w:rsidSect="001F6099">
      <w:footerReference w:type="even"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55F2" w14:textId="77777777" w:rsidR="00FD6E75" w:rsidRDefault="00FD6E75" w:rsidP="001F6099">
      <w:r>
        <w:separator/>
      </w:r>
    </w:p>
  </w:endnote>
  <w:endnote w:type="continuationSeparator" w:id="0">
    <w:p w14:paraId="30FCE2C1" w14:textId="77777777" w:rsidR="00FD6E75" w:rsidRDefault="00FD6E75" w:rsidP="001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890773"/>
      <w:docPartObj>
        <w:docPartGallery w:val="Page Numbers (Bottom of Page)"/>
        <w:docPartUnique/>
      </w:docPartObj>
    </w:sdtPr>
    <w:sdtContent>
      <w:p w14:paraId="010B88EA" w14:textId="5CC5C839" w:rsidR="001F6099" w:rsidRDefault="001F6099" w:rsidP="00D73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ABD43" w14:textId="77777777" w:rsidR="001F6099" w:rsidRDefault="001F6099" w:rsidP="001F6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5669"/>
      <w:docPartObj>
        <w:docPartGallery w:val="Page Numbers (Bottom of Page)"/>
        <w:docPartUnique/>
      </w:docPartObj>
    </w:sdtPr>
    <w:sdtContent>
      <w:p w14:paraId="5FE051F3" w14:textId="0BE611B2" w:rsidR="001F6099" w:rsidRDefault="001F6099" w:rsidP="00D73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407549" w14:textId="77777777" w:rsidR="001F6099" w:rsidRDefault="001F6099" w:rsidP="001F6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AD7D" w14:textId="77777777" w:rsidR="00FD6E75" w:rsidRDefault="00FD6E75" w:rsidP="001F6099">
      <w:r>
        <w:separator/>
      </w:r>
    </w:p>
  </w:footnote>
  <w:footnote w:type="continuationSeparator" w:id="0">
    <w:p w14:paraId="1B60BE56" w14:textId="77777777" w:rsidR="00FD6E75" w:rsidRDefault="00FD6E75" w:rsidP="001F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A92"/>
    <w:multiLevelType w:val="multilevel"/>
    <w:tmpl w:val="66868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171F3"/>
    <w:multiLevelType w:val="hybridMultilevel"/>
    <w:tmpl w:val="922E7552"/>
    <w:lvl w:ilvl="0" w:tplc="5CDE3FE4">
      <w:start w:val="1"/>
      <w:numFmt w:val="bullet"/>
      <w:lvlText w:val="•"/>
      <w:lvlJc w:val="left"/>
      <w:pPr>
        <w:tabs>
          <w:tab w:val="num" w:pos="720"/>
        </w:tabs>
        <w:ind w:left="720" w:hanging="360"/>
      </w:pPr>
      <w:rPr>
        <w:rFonts w:ascii="Arial" w:hAnsi="Arial" w:hint="default"/>
      </w:rPr>
    </w:lvl>
    <w:lvl w:ilvl="1" w:tplc="978668F6">
      <w:numFmt w:val="bullet"/>
      <w:lvlText w:val="–"/>
      <w:lvlJc w:val="left"/>
      <w:pPr>
        <w:tabs>
          <w:tab w:val="num" w:pos="1440"/>
        </w:tabs>
        <w:ind w:left="1440" w:hanging="360"/>
      </w:pPr>
      <w:rPr>
        <w:rFonts w:ascii="Arial" w:hAnsi="Arial" w:hint="default"/>
      </w:rPr>
    </w:lvl>
    <w:lvl w:ilvl="2" w:tplc="413E698C" w:tentative="1">
      <w:start w:val="1"/>
      <w:numFmt w:val="bullet"/>
      <w:lvlText w:val="•"/>
      <w:lvlJc w:val="left"/>
      <w:pPr>
        <w:tabs>
          <w:tab w:val="num" w:pos="2160"/>
        </w:tabs>
        <w:ind w:left="2160" w:hanging="360"/>
      </w:pPr>
      <w:rPr>
        <w:rFonts w:ascii="Arial" w:hAnsi="Arial" w:hint="default"/>
      </w:rPr>
    </w:lvl>
    <w:lvl w:ilvl="3" w:tplc="7B781DCE" w:tentative="1">
      <w:start w:val="1"/>
      <w:numFmt w:val="bullet"/>
      <w:lvlText w:val="•"/>
      <w:lvlJc w:val="left"/>
      <w:pPr>
        <w:tabs>
          <w:tab w:val="num" w:pos="2880"/>
        </w:tabs>
        <w:ind w:left="2880" w:hanging="360"/>
      </w:pPr>
      <w:rPr>
        <w:rFonts w:ascii="Arial" w:hAnsi="Arial" w:hint="default"/>
      </w:rPr>
    </w:lvl>
    <w:lvl w:ilvl="4" w:tplc="CCB48AD0" w:tentative="1">
      <w:start w:val="1"/>
      <w:numFmt w:val="bullet"/>
      <w:lvlText w:val="•"/>
      <w:lvlJc w:val="left"/>
      <w:pPr>
        <w:tabs>
          <w:tab w:val="num" w:pos="3600"/>
        </w:tabs>
        <w:ind w:left="3600" w:hanging="360"/>
      </w:pPr>
      <w:rPr>
        <w:rFonts w:ascii="Arial" w:hAnsi="Arial" w:hint="default"/>
      </w:rPr>
    </w:lvl>
    <w:lvl w:ilvl="5" w:tplc="D0CA79A2" w:tentative="1">
      <w:start w:val="1"/>
      <w:numFmt w:val="bullet"/>
      <w:lvlText w:val="•"/>
      <w:lvlJc w:val="left"/>
      <w:pPr>
        <w:tabs>
          <w:tab w:val="num" w:pos="4320"/>
        </w:tabs>
        <w:ind w:left="4320" w:hanging="360"/>
      </w:pPr>
      <w:rPr>
        <w:rFonts w:ascii="Arial" w:hAnsi="Arial" w:hint="default"/>
      </w:rPr>
    </w:lvl>
    <w:lvl w:ilvl="6" w:tplc="97181A8A" w:tentative="1">
      <w:start w:val="1"/>
      <w:numFmt w:val="bullet"/>
      <w:lvlText w:val="•"/>
      <w:lvlJc w:val="left"/>
      <w:pPr>
        <w:tabs>
          <w:tab w:val="num" w:pos="5040"/>
        </w:tabs>
        <w:ind w:left="5040" w:hanging="360"/>
      </w:pPr>
      <w:rPr>
        <w:rFonts w:ascii="Arial" w:hAnsi="Arial" w:hint="default"/>
      </w:rPr>
    </w:lvl>
    <w:lvl w:ilvl="7" w:tplc="952C2B6E" w:tentative="1">
      <w:start w:val="1"/>
      <w:numFmt w:val="bullet"/>
      <w:lvlText w:val="•"/>
      <w:lvlJc w:val="left"/>
      <w:pPr>
        <w:tabs>
          <w:tab w:val="num" w:pos="5760"/>
        </w:tabs>
        <w:ind w:left="5760" w:hanging="360"/>
      </w:pPr>
      <w:rPr>
        <w:rFonts w:ascii="Arial" w:hAnsi="Arial" w:hint="default"/>
      </w:rPr>
    </w:lvl>
    <w:lvl w:ilvl="8" w:tplc="785855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E310D5"/>
    <w:multiLevelType w:val="hybridMultilevel"/>
    <w:tmpl w:val="CC08D3BC"/>
    <w:lvl w:ilvl="0" w:tplc="8F4CFF76">
      <w:start w:val="1"/>
      <w:numFmt w:val="bullet"/>
      <w:lvlText w:val="•"/>
      <w:lvlJc w:val="left"/>
      <w:pPr>
        <w:tabs>
          <w:tab w:val="num" w:pos="360"/>
        </w:tabs>
        <w:ind w:left="360" w:hanging="360"/>
      </w:pPr>
      <w:rPr>
        <w:rFonts w:ascii="Arial" w:hAnsi="Arial" w:hint="default"/>
      </w:rPr>
    </w:lvl>
    <w:lvl w:ilvl="1" w:tplc="009E2EA6" w:tentative="1">
      <w:start w:val="1"/>
      <w:numFmt w:val="bullet"/>
      <w:lvlText w:val="•"/>
      <w:lvlJc w:val="left"/>
      <w:pPr>
        <w:tabs>
          <w:tab w:val="num" w:pos="1080"/>
        </w:tabs>
        <w:ind w:left="1080" w:hanging="360"/>
      </w:pPr>
      <w:rPr>
        <w:rFonts w:ascii="Arial" w:hAnsi="Arial" w:hint="default"/>
      </w:rPr>
    </w:lvl>
    <w:lvl w:ilvl="2" w:tplc="F2EE35C0" w:tentative="1">
      <w:start w:val="1"/>
      <w:numFmt w:val="bullet"/>
      <w:lvlText w:val="•"/>
      <w:lvlJc w:val="left"/>
      <w:pPr>
        <w:tabs>
          <w:tab w:val="num" w:pos="1800"/>
        </w:tabs>
        <w:ind w:left="1800" w:hanging="360"/>
      </w:pPr>
      <w:rPr>
        <w:rFonts w:ascii="Arial" w:hAnsi="Arial" w:hint="default"/>
      </w:rPr>
    </w:lvl>
    <w:lvl w:ilvl="3" w:tplc="898C56DC" w:tentative="1">
      <w:start w:val="1"/>
      <w:numFmt w:val="bullet"/>
      <w:lvlText w:val="•"/>
      <w:lvlJc w:val="left"/>
      <w:pPr>
        <w:tabs>
          <w:tab w:val="num" w:pos="2520"/>
        </w:tabs>
        <w:ind w:left="2520" w:hanging="360"/>
      </w:pPr>
      <w:rPr>
        <w:rFonts w:ascii="Arial" w:hAnsi="Arial" w:hint="default"/>
      </w:rPr>
    </w:lvl>
    <w:lvl w:ilvl="4" w:tplc="990E2D72" w:tentative="1">
      <w:start w:val="1"/>
      <w:numFmt w:val="bullet"/>
      <w:lvlText w:val="•"/>
      <w:lvlJc w:val="left"/>
      <w:pPr>
        <w:tabs>
          <w:tab w:val="num" w:pos="3240"/>
        </w:tabs>
        <w:ind w:left="3240" w:hanging="360"/>
      </w:pPr>
      <w:rPr>
        <w:rFonts w:ascii="Arial" w:hAnsi="Arial" w:hint="default"/>
      </w:rPr>
    </w:lvl>
    <w:lvl w:ilvl="5" w:tplc="BDAAA6A4" w:tentative="1">
      <w:start w:val="1"/>
      <w:numFmt w:val="bullet"/>
      <w:lvlText w:val="•"/>
      <w:lvlJc w:val="left"/>
      <w:pPr>
        <w:tabs>
          <w:tab w:val="num" w:pos="3960"/>
        </w:tabs>
        <w:ind w:left="3960" w:hanging="360"/>
      </w:pPr>
      <w:rPr>
        <w:rFonts w:ascii="Arial" w:hAnsi="Arial" w:hint="default"/>
      </w:rPr>
    </w:lvl>
    <w:lvl w:ilvl="6" w:tplc="950A2F9A" w:tentative="1">
      <w:start w:val="1"/>
      <w:numFmt w:val="bullet"/>
      <w:lvlText w:val="•"/>
      <w:lvlJc w:val="left"/>
      <w:pPr>
        <w:tabs>
          <w:tab w:val="num" w:pos="4680"/>
        </w:tabs>
        <w:ind w:left="4680" w:hanging="360"/>
      </w:pPr>
      <w:rPr>
        <w:rFonts w:ascii="Arial" w:hAnsi="Arial" w:hint="default"/>
      </w:rPr>
    </w:lvl>
    <w:lvl w:ilvl="7" w:tplc="99DE69BA" w:tentative="1">
      <w:start w:val="1"/>
      <w:numFmt w:val="bullet"/>
      <w:lvlText w:val="•"/>
      <w:lvlJc w:val="left"/>
      <w:pPr>
        <w:tabs>
          <w:tab w:val="num" w:pos="5400"/>
        </w:tabs>
        <w:ind w:left="5400" w:hanging="360"/>
      </w:pPr>
      <w:rPr>
        <w:rFonts w:ascii="Arial" w:hAnsi="Arial" w:hint="default"/>
      </w:rPr>
    </w:lvl>
    <w:lvl w:ilvl="8" w:tplc="84B8E5E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1A268AB"/>
    <w:multiLevelType w:val="hybridMultilevel"/>
    <w:tmpl w:val="7FD81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BC6A12"/>
    <w:multiLevelType w:val="hybridMultilevel"/>
    <w:tmpl w:val="10F26BC6"/>
    <w:lvl w:ilvl="0" w:tplc="EA0A2440">
      <w:start w:val="1"/>
      <w:numFmt w:val="bullet"/>
      <w:lvlText w:val="•"/>
      <w:lvlJc w:val="left"/>
      <w:pPr>
        <w:tabs>
          <w:tab w:val="num" w:pos="720"/>
        </w:tabs>
        <w:ind w:left="720" w:hanging="360"/>
      </w:pPr>
      <w:rPr>
        <w:rFonts w:ascii="Arial" w:hAnsi="Arial" w:hint="default"/>
      </w:rPr>
    </w:lvl>
    <w:lvl w:ilvl="1" w:tplc="1E8416DC" w:tentative="1">
      <w:start w:val="1"/>
      <w:numFmt w:val="bullet"/>
      <w:lvlText w:val="•"/>
      <w:lvlJc w:val="left"/>
      <w:pPr>
        <w:tabs>
          <w:tab w:val="num" w:pos="1440"/>
        </w:tabs>
        <w:ind w:left="1440" w:hanging="360"/>
      </w:pPr>
      <w:rPr>
        <w:rFonts w:ascii="Arial" w:hAnsi="Arial" w:hint="default"/>
      </w:rPr>
    </w:lvl>
    <w:lvl w:ilvl="2" w:tplc="5E16F20C" w:tentative="1">
      <w:start w:val="1"/>
      <w:numFmt w:val="bullet"/>
      <w:lvlText w:val="•"/>
      <w:lvlJc w:val="left"/>
      <w:pPr>
        <w:tabs>
          <w:tab w:val="num" w:pos="2160"/>
        </w:tabs>
        <w:ind w:left="2160" w:hanging="360"/>
      </w:pPr>
      <w:rPr>
        <w:rFonts w:ascii="Arial" w:hAnsi="Arial" w:hint="default"/>
      </w:rPr>
    </w:lvl>
    <w:lvl w:ilvl="3" w:tplc="6128C554" w:tentative="1">
      <w:start w:val="1"/>
      <w:numFmt w:val="bullet"/>
      <w:lvlText w:val="•"/>
      <w:lvlJc w:val="left"/>
      <w:pPr>
        <w:tabs>
          <w:tab w:val="num" w:pos="2880"/>
        </w:tabs>
        <w:ind w:left="2880" w:hanging="360"/>
      </w:pPr>
      <w:rPr>
        <w:rFonts w:ascii="Arial" w:hAnsi="Arial" w:hint="default"/>
      </w:rPr>
    </w:lvl>
    <w:lvl w:ilvl="4" w:tplc="AD449E68" w:tentative="1">
      <w:start w:val="1"/>
      <w:numFmt w:val="bullet"/>
      <w:lvlText w:val="•"/>
      <w:lvlJc w:val="left"/>
      <w:pPr>
        <w:tabs>
          <w:tab w:val="num" w:pos="3600"/>
        </w:tabs>
        <w:ind w:left="3600" w:hanging="360"/>
      </w:pPr>
      <w:rPr>
        <w:rFonts w:ascii="Arial" w:hAnsi="Arial" w:hint="default"/>
      </w:rPr>
    </w:lvl>
    <w:lvl w:ilvl="5" w:tplc="ABA8F8BE" w:tentative="1">
      <w:start w:val="1"/>
      <w:numFmt w:val="bullet"/>
      <w:lvlText w:val="•"/>
      <w:lvlJc w:val="left"/>
      <w:pPr>
        <w:tabs>
          <w:tab w:val="num" w:pos="4320"/>
        </w:tabs>
        <w:ind w:left="4320" w:hanging="360"/>
      </w:pPr>
      <w:rPr>
        <w:rFonts w:ascii="Arial" w:hAnsi="Arial" w:hint="default"/>
      </w:rPr>
    </w:lvl>
    <w:lvl w:ilvl="6" w:tplc="25884FB6" w:tentative="1">
      <w:start w:val="1"/>
      <w:numFmt w:val="bullet"/>
      <w:lvlText w:val="•"/>
      <w:lvlJc w:val="left"/>
      <w:pPr>
        <w:tabs>
          <w:tab w:val="num" w:pos="5040"/>
        </w:tabs>
        <w:ind w:left="5040" w:hanging="360"/>
      </w:pPr>
      <w:rPr>
        <w:rFonts w:ascii="Arial" w:hAnsi="Arial" w:hint="default"/>
      </w:rPr>
    </w:lvl>
    <w:lvl w:ilvl="7" w:tplc="8BFCB660" w:tentative="1">
      <w:start w:val="1"/>
      <w:numFmt w:val="bullet"/>
      <w:lvlText w:val="•"/>
      <w:lvlJc w:val="left"/>
      <w:pPr>
        <w:tabs>
          <w:tab w:val="num" w:pos="5760"/>
        </w:tabs>
        <w:ind w:left="5760" w:hanging="360"/>
      </w:pPr>
      <w:rPr>
        <w:rFonts w:ascii="Arial" w:hAnsi="Arial" w:hint="default"/>
      </w:rPr>
    </w:lvl>
    <w:lvl w:ilvl="8" w:tplc="20E8DE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DE4B00"/>
    <w:multiLevelType w:val="hybridMultilevel"/>
    <w:tmpl w:val="FF9A5B14"/>
    <w:lvl w:ilvl="0" w:tplc="7D6E7428">
      <w:start w:val="1"/>
      <w:numFmt w:val="bullet"/>
      <w:lvlText w:val="•"/>
      <w:lvlJc w:val="left"/>
      <w:pPr>
        <w:tabs>
          <w:tab w:val="num" w:pos="720"/>
        </w:tabs>
        <w:ind w:left="720" w:hanging="360"/>
      </w:pPr>
      <w:rPr>
        <w:rFonts w:ascii="Arial" w:hAnsi="Arial" w:hint="default"/>
      </w:rPr>
    </w:lvl>
    <w:lvl w:ilvl="1" w:tplc="B3D45D14" w:tentative="1">
      <w:start w:val="1"/>
      <w:numFmt w:val="bullet"/>
      <w:lvlText w:val="•"/>
      <w:lvlJc w:val="left"/>
      <w:pPr>
        <w:tabs>
          <w:tab w:val="num" w:pos="1440"/>
        </w:tabs>
        <w:ind w:left="1440" w:hanging="360"/>
      </w:pPr>
      <w:rPr>
        <w:rFonts w:ascii="Arial" w:hAnsi="Arial" w:hint="default"/>
      </w:rPr>
    </w:lvl>
    <w:lvl w:ilvl="2" w:tplc="4CDE4D1A" w:tentative="1">
      <w:start w:val="1"/>
      <w:numFmt w:val="bullet"/>
      <w:lvlText w:val="•"/>
      <w:lvlJc w:val="left"/>
      <w:pPr>
        <w:tabs>
          <w:tab w:val="num" w:pos="2160"/>
        </w:tabs>
        <w:ind w:left="2160" w:hanging="360"/>
      </w:pPr>
      <w:rPr>
        <w:rFonts w:ascii="Arial" w:hAnsi="Arial" w:hint="default"/>
      </w:rPr>
    </w:lvl>
    <w:lvl w:ilvl="3" w:tplc="2E92FF3A" w:tentative="1">
      <w:start w:val="1"/>
      <w:numFmt w:val="bullet"/>
      <w:lvlText w:val="•"/>
      <w:lvlJc w:val="left"/>
      <w:pPr>
        <w:tabs>
          <w:tab w:val="num" w:pos="2880"/>
        </w:tabs>
        <w:ind w:left="2880" w:hanging="360"/>
      </w:pPr>
      <w:rPr>
        <w:rFonts w:ascii="Arial" w:hAnsi="Arial" w:hint="default"/>
      </w:rPr>
    </w:lvl>
    <w:lvl w:ilvl="4" w:tplc="0C429904" w:tentative="1">
      <w:start w:val="1"/>
      <w:numFmt w:val="bullet"/>
      <w:lvlText w:val="•"/>
      <w:lvlJc w:val="left"/>
      <w:pPr>
        <w:tabs>
          <w:tab w:val="num" w:pos="3600"/>
        </w:tabs>
        <w:ind w:left="3600" w:hanging="360"/>
      </w:pPr>
      <w:rPr>
        <w:rFonts w:ascii="Arial" w:hAnsi="Arial" w:hint="default"/>
      </w:rPr>
    </w:lvl>
    <w:lvl w:ilvl="5" w:tplc="D9DC5554" w:tentative="1">
      <w:start w:val="1"/>
      <w:numFmt w:val="bullet"/>
      <w:lvlText w:val="•"/>
      <w:lvlJc w:val="left"/>
      <w:pPr>
        <w:tabs>
          <w:tab w:val="num" w:pos="4320"/>
        </w:tabs>
        <w:ind w:left="4320" w:hanging="360"/>
      </w:pPr>
      <w:rPr>
        <w:rFonts w:ascii="Arial" w:hAnsi="Arial" w:hint="default"/>
      </w:rPr>
    </w:lvl>
    <w:lvl w:ilvl="6" w:tplc="12A0DF10" w:tentative="1">
      <w:start w:val="1"/>
      <w:numFmt w:val="bullet"/>
      <w:lvlText w:val="•"/>
      <w:lvlJc w:val="left"/>
      <w:pPr>
        <w:tabs>
          <w:tab w:val="num" w:pos="5040"/>
        </w:tabs>
        <w:ind w:left="5040" w:hanging="360"/>
      </w:pPr>
      <w:rPr>
        <w:rFonts w:ascii="Arial" w:hAnsi="Arial" w:hint="default"/>
      </w:rPr>
    </w:lvl>
    <w:lvl w:ilvl="7" w:tplc="099ACA1C" w:tentative="1">
      <w:start w:val="1"/>
      <w:numFmt w:val="bullet"/>
      <w:lvlText w:val="•"/>
      <w:lvlJc w:val="left"/>
      <w:pPr>
        <w:tabs>
          <w:tab w:val="num" w:pos="5760"/>
        </w:tabs>
        <w:ind w:left="5760" w:hanging="360"/>
      </w:pPr>
      <w:rPr>
        <w:rFonts w:ascii="Arial" w:hAnsi="Arial" w:hint="default"/>
      </w:rPr>
    </w:lvl>
    <w:lvl w:ilvl="8" w:tplc="0AE693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36"/>
    <w:rsid w:val="001377C2"/>
    <w:rsid w:val="00163541"/>
    <w:rsid w:val="001B0DA8"/>
    <w:rsid w:val="001F6099"/>
    <w:rsid w:val="002B28C8"/>
    <w:rsid w:val="00326D39"/>
    <w:rsid w:val="00380536"/>
    <w:rsid w:val="00432AAE"/>
    <w:rsid w:val="006120AC"/>
    <w:rsid w:val="00643156"/>
    <w:rsid w:val="006E5326"/>
    <w:rsid w:val="007A4B5B"/>
    <w:rsid w:val="00837C79"/>
    <w:rsid w:val="009320A4"/>
    <w:rsid w:val="00996579"/>
    <w:rsid w:val="009C112F"/>
    <w:rsid w:val="00B57B80"/>
    <w:rsid w:val="00B63A62"/>
    <w:rsid w:val="00C052F2"/>
    <w:rsid w:val="00C360B1"/>
    <w:rsid w:val="00CE6628"/>
    <w:rsid w:val="00D91214"/>
    <w:rsid w:val="00DC2CC1"/>
    <w:rsid w:val="00E03B89"/>
    <w:rsid w:val="00E04728"/>
    <w:rsid w:val="00E2770D"/>
    <w:rsid w:val="00E3011F"/>
    <w:rsid w:val="00F87F80"/>
    <w:rsid w:val="00FB17B8"/>
    <w:rsid w:val="00FC6817"/>
    <w:rsid w:val="00FD6E75"/>
    <w:rsid w:val="00FE4B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A77DC"/>
  <w15:docId w15:val="{DC40692D-C323-AA47-BD65-0492773E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36"/>
    <w:pPr>
      <w:ind w:left="720"/>
      <w:contextualSpacing/>
    </w:pPr>
  </w:style>
  <w:style w:type="character" w:styleId="Hyperlink">
    <w:name w:val="Hyperlink"/>
    <w:basedOn w:val="DefaultParagraphFont"/>
    <w:uiPriority w:val="99"/>
    <w:unhideWhenUsed/>
    <w:rsid w:val="00B57B80"/>
    <w:rPr>
      <w:color w:val="0000FF" w:themeColor="hyperlink"/>
      <w:u w:val="single"/>
    </w:rPr>
  </w:style>
  <w:style w:type="character" w:styleId="UnresolvedMention">
    <w:name w:val="Unresolved Mention"/>
    <w:basedOn w:val="DefaultParagraphFont"/>
    <w:uiPriority w:val="99"/>
    <w:semiHidden/>
    <w:unhideWhenUsed/>
    <w:rsid w:val="00B57B80"/>
    <w:rPr>
      <w:color w:val="605E5C"/>
      <w:shd w:val="clear" w:color="auto" w:fill="E1DFDD"/>
    </w:rPr>
  </w:style>
  <w:style w:type="paragraph" w:styleId="Footer">
    <w:name w:val="footer"/>
    <w:basedOn w:val="Normal"/>
    <w:link w:val="FooterChar"/>
    <w:uiPriority w:val="99"/>
    <w:unhideWhenUsed/>
    <w:rsid w:val="001F6099"/>
    <w:pPr>
      <w:tabs>
        <w:tab w:val="center" w:pos="4680"/>
        <w:tab w:val="right" w:pos="9360"/>
      </w:tabs>
    </w:pPr>
  </w:style>
  <w:style w:type="character" w:customStyle="1" w:styleId="FooterChar">
    <w:name w:val="Footer Char"/>
    <w:basedOn w:val="DefaultParagraphFont"/>
    <w:link w:val="Footer"/>
    <w:uiPriority w:val="99"/>
    <w:rsid w:val="001F6099"/>
  </w:style>
  <w:style w:type="character" w:styleId="PageNumber">
    <w:name w:val="page number"/>
    <w:basedOn w:val="DefaultParagraphFont"/>
    <w:uiPriority w:val="99"/>
    <w:semiHidden/>
    <w:unhideWhenUsed/>
    <w:rsid w:val="001F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758">
      <w:bodyDiv w:val="1"/>
      <w:marLeft w:val="0"/>
      <w:marRight w:val="0"/>
      <w:marTop w:val="0"/>
      <w:marBottom w:val="0"/>
      <w:divBdr>
        <w:top w:val="none" w:sz="0" w:space="0" w:color="auto"/>
        <w:left w:val="none" w:sz="0" w:space="0" w:color="auto"/>
        <w:bottom w:val="none" w:sz="0" w:space="0" w:color="auto"/>
        <w:right w:val="none" w:sz="0" w:space="0" w:color="auto"/>
      </w:divBdr>
      <w:divsChild>
        <w:div w:id="1580365910">
          <w:marLeft w:val="0"/>
          <w:marRight w:val="0"/>
          <w:marTop w:val="0"/>
          <w:marBottom w:val="0"/>
          <w:divBdr>
            <w:top w:val="none" w:sz="0" w:space="0" w:color="auto"/>
            <w:left w:val="none" w:sz="0" w:space="0" w:color="auto"/>
            <w:bottom w:val="none" w:sz="0" w:space="0" w:color="auto"/>
            <w:right w:val="none" w:sz="0" w:space="0" w:color="auto"/>
          </w:divBdr>
        </w:div>
        <w:div w:id="840196455">
          <w:marLeft w:val="0"/>
          <w:marRight w:val="0"/>
          <w:marTop w:val="0"/>
          <w:marBottom w:val="0"/>
          <w:divBdr>
            <w:top w:val="none" w:sz="0" w:space="0" w:color="auto"/>
            <w:left w:val="none" w:sz="0" w:space="0" w:color="auto"/>
            <w:bottom w:val="none" w:sz="0" w:space="0" w:color="auto"/>
            <w:right w:val="none" w:sz="0" w:space="0" w:color="auto"/>
          </w:divBdr>
        </w:div>
        <w:div w:id="1231114305">
          <w:marLeft w:val="0"/>
          <w:marRight w:val="0"/>
          <w:marTop w:val="0"/>
          <w:marBottom w:val="0"/>
          <w:divBdr>
            <w:top w:val="none" w:sz="0" w:space="0" w:color="auto"/>
            <w:left w:val="none" w:sz="0" w:space="0" w:color="auto"/>
            <w:bottom w:val="none" w:sz="0" w:space="0" w:color="auto"/>
            <w:right w:val="none" w:sz="0" w:space="0" w:color="auto"/>
          </w:divBdr>
        </w:div>
        <w:div w:id="1577742866">
          <w:marLeft w:val="0"/>
          <w:marRight w:val="0"/>
          <w:marTop w:val="0"/>
          <w:marBottom w:val="0"/>
          <w:divBdr>
            <w:top w:val="none" w:sz="0" w:space="0" w:color="auto"/>
            <w:left w:val="none" w:sz="0" w:space="0" w:color="auto"/>
            <w:bottom w:val="none" w:sz="0" w:space="0" w:color="auto"/>
            <w:right w:val="none" w:sz="0" w:space="0" w:color="auto"/>
          </w:divBdr>
        </w:div>
        <w:div w:id="1397974586">
          <w:marLeft w:val="0"/>
          <w:marRight w:val="0"/>
          <w:marTop w:val="0"/>
          <w:marBottom w:val="0"/>
          <w:divBdr>
            <w:top w:val="none" w:sz="0" w:space="0" w:color="auto"/>
            <w:left w:val="none" w:sz="0" w:space="0" w:color="auto"/>
            <w:bottom w:val="none" w:sz="0" w:space="0" w:color="auto"/>
            <w:right w:val="none" w:sz="0" w:space="0" w:color="auto"/>
          </w:divBdr>
        </w:div>
        <w:div w:id="1563755040">
          <w:marLeft w:val="0"/>
          <w:marRight w:val="0"/>
          <w:marTop w:val="0"/>
          <w:marBottom w:val="0"/>
          <w:divBdr>
            <w:top w:val="none" w:sz="0" w:space="0" w:color="auto"/>
            <w:left w:val="none" w:sz="0" w:space="0" w:color="auto"/>
            <w:bottom w:val="none" w:sz="0" w:space="0" w:color="auto"/>
            <w:right w:val="none" w:sz="0" w:space="0" w:color="auto"/>
          </w:divBdr>
        </w:div>
      </w:divsChild>
    </w:div>
    <w:div w:id="283539257">
      <w:bodyDiv w:val="1"/>
      <w:marLeft w:val="0"/>
      <w:marRight w:val="0"/>
      <w:marTop w:val="0"/>
      <w:marBottom w:val="0"/>
      <w:divBdr>
        <w:top w:val="none" w:sz="0" w:space="0" w:color="auto"/>
        <w:left w:val="none" w:sz="0" w:space="0" w:color="auto"/>
        <w:bottom w:val="none" w:sz="0" w:space="0" w:color="auto"/>
        <w:right w:val="none" w:sz="0" w:space="0" w:color="auto"/>
      </w:divBdr>
      <w:divsChild>
        <w:div w:id="386221977">
          <w:marLeft w:val="547"/>
          <w:marRight w:val="0"/>
          <w:marTop w:val="0"/>
          <w:marBottom w:val="0"/>
          <w:divBdr>
            <w:top w:val="none" w:sz="0" w:space="0" w:color="auto"/>
            <w:left w:val="none" w:sz="0" w:space="0" w:color="auto"/>
            <w:bottom w:val="none" w:sz="0" w:space="0" w:color="auto"/>
            <w:right w:val="none" w:sz="0" w:space="0" w:color="auto"/>
          </w:divBdr>
        </w:div>
        <w:div w:id="1343896279">
          <w:marLeft w:val="547"/>
          <w:marRight w:val="0"/>
          <w:marTop w:val="0"/>
          <w:marBottom w:val="0"/>
          <w:divBdr>
            <w:top w:val="none" w:sz="0" w:space="0" w:color="auto"/>
            <w:left w:val="none" w:sz="0" w:space="0" w:color="auto"/>
            <w:bottom w:val="none" w:sz="0" w:space="0" w:color="auto"/>
            <w:right w:val="none" w:sz="0" w:space="0" w:color="auto"/>
          </w:divBdr>
        </w:div>
        <w:div w:id="144055906">
          <w:marLeft w:val="547"/>
          <w:marRight w:val="0"/>
          <w:marTop w:val="0"/>
          <w:marBottom w:val="0"/>
          <w:divBdr>
            <w:top w:val="none" w:sz="0" w:space="0" w:color="auto"/>
            <w:left w:val="none" w:sz="0" w:space="0" w:color="auto"/>
            <w:bottom w:val="none" w:sz="0" w:space="0" w:color="auto"/>
            <w:right w:val="none" w:sz="0" w:space="0" w:color="auto"/>
          </w:divBdr>
        </w:div>
        <w:div w:id="967856569">
          <w:marLeft w:val="547"/>
          <w:marRight w:val="0"/>
          <w:marTop w:val="0"/>
          <w:marBottom w:val="0"/>
          <w:divBdr>
            <w:top w:val="none" w:sz="0" w:space="0" w:color="auto"/>
            <w:left w:val="none" w:sz="0" w:space="0" w:color="auto"/>
            <w:bottom w:val="none" w:sz="0" w:space="0" w:color="auto"/>
            <w:right w:val="none" w:sz="0" w:space="0" w:color="auto"/>
          </w:divBdr>
        </w:div>
        <w:div w:id="139923427">
          <w:marLeft w:val="547"/>
          <w:marRight w:val="0"/>
          <w:marTop w:val="0"/>
          <w:marBottom w:val="0"/>
          <w:divBdr>
            <w:top w:val="none" w:sz="0" w:space="0" w:color="auto"/>
            <w:left w:val="none" w:sz="0" w:space="0" w:color="auto"/>
            <w:bottom w:val="none" w:sz="0" w:space="0" w:color="auto"/>
            <w:right w:val="none" w:sz="0" w:space="0" w:color="auto"/>
          </w:divBdr>
        </w:div>
      </w:divsChild>
    </w:div>
    <w:div w:id="923950218">
      <w:bodyDiv w:val="1"/>
      <w:marLeft w:val="0"/>
      <w:marRight w:val="0"/>
      <w:marTop w:val="0"/>
      <w:marBottom w:val="0"/>
      <w:divBdr>
        <w:top w:val="none" w:sz="0" w:space="0" w:color="auto"/>
        <w:left w:val="none" w:sz="0" w:space="0" w:color="auto"/>
        <w:bottom w:val="none" w:sz="0" w:space="0" w:color="auto"/>
        <w:right w:val="none" w:sz="0" w:space="0" w:color="auto"/>
      </w:divBdr>
      <w:divsChild>
        <w:div w:id="1580941192">
          <w:marLeft w:val="0"/>
          <w:marRight w:val="0"/>
          <w:marTop w:val="0"/>
          <w:marBottom w:val="0"/>
          <w:divBdr>
            <w:top w:val="none" w:sz="0" w:space="0" w:color="auto"/>
            <w:left w:val="none" w:sz="0" w:space="0" w:color="auto"/>
            <w:bottom w:val="none" w:sz="0" w:space="0" w:color="auto"/>
            <w:right w:val="none" w:sz="0" w:space="0" w:color="auto"/>
          </w:divBdr>
        </w:div>
        <w:div w:id="1356687810">
          <w:marLeft w:val="0"/>
          <w:marRight w:val="0"/>
          <w:marTop w:val="0"/>
          <w:marBottom w:val="0"/>
          <w:divBdr>
            <w:top w:val="none" w:sz="0" w:space="0" w:color="auto"/>
            <w:left w:val="none" w:sz="0" w:space="0" w:color="auto"/>
            <w:bottom w:val="none" w:sz="0" w:space="0" w:color="auto"/>
            <w:right w:val="none" w:sz="0" w:space="0" w:color="auto"/>
          </w:divBdr>
        </w:div>
        <w:div w:id="1527862923">
          <w:marLeft w:val="0"/>
          <w:marRight w:val="0"/>
          <w:marTop w:val="0"/>
          <w:marBottom w:val="0"/>
          <w:divBdr>
            <w:top w:val="none" w:sz="0" w:space="0" w:color="auto"/>
            <w:left w:val="none" w:sz="0" w:space="0" w:color="auto"/>
            <w:bottom w:val="none" w:sz="0" w:space="0" w:color="auto"/>
            <w:right w:val="none" w:sz="0" w:space="0" w:color="auto"/>
          </w:divBdr>
        </w:div>
        <w:div w:id="1171532307">
          <w:marLeft w:val="0"/>
          <w:marRight w:val="0"/>
          <w:marTop w:val="0"/>
          <w:marBottom w:val="0"/>
          <w:divBdr>
            <w:top w:val="none" w:sz="0" w:space="0" w:color="auto"/>
            <w:left w:val="none" w:sz="0" w:space="0" w:color="auto"/>
            <w:bottom w:val="none" w:sz="0" w:space="0" w:color="auto"/>
            <w:right w:val="none" w:sz="0" w:space="0" w:color="auto"/>
          </w:divBdr>
        </w:div>
        <w:div w:id="590553835">
          <w:marLeft w:val="0"/>
          <w:marRight w:val="0"/>
          <w:marTop w:val="0"/>
          <w:marBottom w:val="0"/>
          <w:divBdr>
            <w:top w:val="none" w:sz="0" w:space="0" w:color="auto"/>
            <w:left w:val="none" w:sz="0" w:space="0" w:color="auto"/>
            <w:bottom w:val="none" w:sz="0" w:space="0" w:color="auto"/>
            <w:right w:val="none" w:sz="0" w:space="0" w:color="auto"/>
          </w:divBdr>
        </w:div>
        <w:div w:id="823400314">
          <w:marLeft w:val="0"/>
          <w:marRight w:val="0"/>
          <w:marTop w:val="0"/>
          <w:marBottom w:val="0"/>
          <w:divBdr>
            <w:top w:val="none" w:sz="0" w:space="0" w:color="auto"/>
            <w:left w:val="none" w:sz="0" w:space="0" w:color="auto"/>
            <w:bottom w:val="none" w:sz="0" w:space="0" w:color="auto"/>
            <w:right w:val="none" w:sz="0" w:space="0" w:color="auto"/>
          </w:divBdr>
        </w:div>
      </w:divsChild>
    </w:div>
    <w:div w:id="1121193149">
      <w:bodyDiv w:val="1"/>
      <w:marLeft w:val="0"/>
      <w:marRight w:val="0"/>
      <w:marTop w:val="0"/>
      <w:marBottom w:val="0"/>
      <w:divBdr>
        <w:top w:val="none" w:sz="0" w:space="0" w:color="auto"/>
        <w:left w:val="none" w:sz="0" w:space="0" w:color="auto"/>
        <w:bottom w:val="none" w:sz="0" w:space="0" w:color="auto"/>
        <w:right w:val="none" w:sz="0" w:space="0" w:color="auto"/>
      </w:divBdr>
      <w:divsChild>
        <w:div w:id="893854132">
          <w:marLeft w:val="0"/>
          <w:marRight w:val="0"/>
          <w:marTop w:val="0"/>
          <w:marBottom w:val="0"/>
          <w:divBdr>
            <w:top w:val="none" w:sz="0" w:space="0" w:color="auto"/>
            <w:left w:val="none" w:sz="0" w:space="0" w:color="auto"/>
            <w:bottom w:val="none" w:sz="0" w:space="0" w:color="auto"/>
            <w:right w:val="none" w:sz="0" w:space="0" w:color="auto"/>
          </w:divBdr>
        </w:div>
        <w:div w:id="73285141">
          <w:marLeft w:val="0"/>
          <w:marRight w:val="0"/>
          <w:marTop w:val="0"/>
          <w:marBottom w:val="0"/>
          <w:divBdr>
            <w:top w:val="none" w:sz="0" w:space="0" w:color="auto"/>
            <w:left w:val="none" w:sz="0" w:space="0" w:color="auto"/>
            <w:bottom w:val="none" w:sz="0" w:space="0" w:color="auto"/>
            <w:right w:val="none" w:sz="0" w:space="0" w:color="auto"/>
          </w:divBdr>
        </w:div>
      </w:divsChild>
    </w:div>
    <w:div w:id="1969555103">
      <w:bodyDiv w:val="1"/>
      <w:marLeft w:val="0"/>
      <w:marRight w:val="0"/>
      <w:marTop w:val="0"/>
      <w:marBottom w:val="0"/>
      <w:divBdr>
        <w:top w:val="none" w:sz="0" w:space="0" w:color="auto"/>
        <w:left w:val="none" w:sz="0" w:space="0" w:color="auto"/>
        <w:bottom w:val="none" w:sz="0" w:space="0" w:color="auto"/>
        <w:right w:val="none" w:sz="0" w:space="0" w:color="auto"/>
      </w:divBdr>
      <w:divsChild>
        <w:div w:id="1086145589">
          <w:marLeft w:val="547"/>
          <w:marRight w:val="0"/>
          <w:marTop w:val="0"/>
          <w:marBottom w:val="0"/>
          <w:divBdr>
            <w:top w:val="none" w:sz="0" w:space="0" w:color="auto"/>
            <w:left w:val="none" w:sz="0" w:space="0" w:color="auto"/>
            <w:bottom w:val="none" w:sz="0" w:space="0" w:color="auto"/>
            <w:right w:val="none" w:sz="0" w:space="0" w:color="auto"/>
          </w:divBdr>
        </w:div>
        <w:div w:id="919363117">
          <w:marLeft w:val="547"/>
          <w:marRight w:val="0"/>
          <w:marTop w:val="0"/>
          <w:marBottom w:val="0"/>
          <w:divBdr>
            <w:top w:val="none" w:sz="0" w:space="0" w:color="auto"/>
            <w:left w:val="none" w:sz="0" w:space="0" w:color="auto"/>
            <w:bottom w:val="none" w:sz="0" w:space="0" w:color="auto"/>
            <w:right w:val="none" w:sz="0" w:space="0" w:color="auto"/>
          </w:divBdr>
        </w:div>
        <w:div w:id="490489913">
          <w:marLeft w:val="547"/>
          <w:marRight w:val="0"/>
          <w:marTop w:val="0"/>
          <w:marBottom w:val="0"/>
          <w:divBdr>
            <w:top w:val="none" w:sz="0" w:space="0" w:color="auto"/>
            <w:left w:val="none" w:sz="0" w:space="0" w:color="auto"/>
            <w:bottom w:val="none" w:sz="0" w:space="0" w:color="auto"/>
            <w:right w:val="none" w:sz="0" w:space="0" w:color="auto"/>
          </w:divBdr>
        </w:div>
        <w:div w:id="2097872">
          <w:marLeft w:val="547"/>
          <w:marRight w:val="0"/>
          <w:marTop w:val="0"/>
          <w:marBottom w:val="0"/>
          <w:divBdr>
            <w:top w:val="none" w:sz="0" w:space="0" w:color="auto"/>
            <w:left w:val="none" w:sz="0" w:space="0" w:color="auto"/>
            <w:bottom w:val="none" w:sz="0" w:space="0" w:color="auto"/>
            <w:right w:val="none" w:sz="0" w:space="0" w:color="auto"/>
          </w:divBdr>
        </w:div>
        <w:div w:id="172768066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sweb.com/wp-content/uploads/AIMSweb_ELL_SampleReport_20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scd.org/publications/curriculum_handbook/413/chapters/Bilingual_Education@_Effective_Programming_for_Language-Minority_Student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s.ed.gov/ncee/wwc/publications/practicegui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es.ed.gov/ncee/wwc/publications/practiceguides" TargetMode="External"/><Relationship Id="rId4" Type="http://schemas.openxmlformats.org/officeDocument/2006/relationships/webSettings" Target="webSettings.xml"/><Relationship Id="rId9" Type="http://schemas.openxmlformats.org/officeDocument/2006/relationships/hyperlink" Target="http://www.rti4success.orgresourcetype/rti-english-language-learners-appropriately-using-screening-and-progress-monitoring-t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McVey</dc:creator>
  <cp:keywords/>
  <dc:description/>
  <cp:lastModifiedBy>Microsoft Office User</cp:lastModifiedBy>
  <cp:revision>11</cp:revision>
  <cp:lastPrinted>2014-09-30T16:20:00Z</cp:lastPrinted>
  <dcterms:created xsi:type="dcterms:W3CDTF">2021-09-10T12:40:00Z</dcterms:created>
  <dcterms:modified xsi:type="dcterms:W3CDTF">2022-02-04T17:23:00Z</dcterms:modified>
</cp:coreProperties>
</file>