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3F89" w14:textId="77777777" w:rsidR="00DE546A" w:rsidRDefault="00FB2FAB">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ab/>
      </w:r>
    </w:p>
    <w:tbl>
      <w:tblPr>
        <w:tblStyle w:val="a"/>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1080"/>
        <w:gridCol w:w="1170"/>
        <w:gridCol w:w="1620"/>
      </w:tblGrid>
      <w:tr w:rsidR="00DE546A" w14:paraId="1BC25E50" w14:textId="77777777" w:rsidTr="0081049E">
        <w:tc>
          <w:tcPr>
            <w:tcW w:w="6390" w:type="dxa"/>
            <w:shd w:val="clear" w:color="auto" w:fill="D9D9D9"/>
          </w:tcPr>
          <w:p w14:paraId="76E82EF4" w14:textId="74309DC9" w:rsidR="00DE546A" w:rsidRPr="0081049E" w:rsidRDefault="00631C4B">
            <w:pPr>
              <w:rPr>
                <w:b/>
                <w:bCs/>
              </w:rPr>
            </w:pPr>
            <w:r w:rsidRPr="0081049E">
              <w:rPr>
                <w:b/>
                <w:bCs/>
              </w:rPr>
              <w:t>Pre-Assessment</w:t>
            </w:r>
            <w:r w:rsidR="0081049E" w:rsidRPr="0081049E">
              <w:rPr>
                <w:b/>
                <w:bCs/>
              </w:rPr>
              <w:t xml:space="preserve"> (2-3 weeks)</w:t>
            </w:r>
          </w:p>
        </w:tc>
        <w:tc>
          <w:tcPr>
            <w:tcW w:w="1080" w:type="dxa"/>
            <w:shd w:val="clear" w:color="auto" w:fill="D9D9D9"/>
          </w:tcPr>
          <w:p w14:paraId="445E2BB8" w14:textId="77777777" w:rsidR="00DE546A" w:rsidRPr="0081049E" w:rsidRDefault="00FB2FAB">
            <w:pPr>
              <w:jc w:val="center"/>
              <w:rPr>
                <w:b/>
                <w:bCs/>
              </w:rPr>
            </w:pPr>
            <w:r w:rsidRPr="0081049E">
              <w:rPr>
                <w:b/>
                <w:bCs/>
              </w:rPr>
              <w:t>Yes</w:t>
            </w:r>
          </w:p>
        </w:tc>
        <w:tc>
          <w:tcPr>
            <w:tcW w:w="1170" w:type="dxa"/>
            <w:shd w:val="clear" w:color="auto" w:fill="D9D9D9"/>
          </w:tcPr>
          <w:p w14:paraId="6BC00D07" w14:textId="77777777" w:rsidR="00DE546A" w:rsidRPr="0081049E" w:rsidRDefault="00FB2FAB">
            <w:pPr>
              <w:jc w:val="center"/>
              <w:rPr>
                <w:b/>
                <w:bCs/>
              </w:rPr>
            </w:pPr>
            <w:r w:rsidRPr="0081049E">
              <w:rPr>
                <w:b/>
                <w:bCs/>
              </w:rPr>
              <w:t>No</w:t>
            </w:r>
          </w:p>
        </w:tc>
        <w:tc>
          <w:tcPr>
            <w:tcW w:w="1620" w:type="dxa"/>
            <w:shd w:val="clear" w:color="auto" w:fill="D9D9D9"/>
          </w:tcPr>
          <w:p w14:paraId="41C0C7EB" w14:textId="77777777" w:rsidR="00DE546A" w:rsidRPr="0081049E" w:rsidRDefault="00FB2FAB">
            <w:pPr>
              <w:jc w:val="center"/>
              <w:rPr>
                <w:b/>
                <w:bCs/>
              </w:rPr>
            </w:pPr>
            <w:r w:rsidRPr="0081049E">
              <w:rPr>
                <w:b/>
                <w:bCs/>
              </w:rPr>
              <w:t>N/A</w:t>
            </w:r>
          </w:p>
        </w:tc>
      </w:tr>
      <w:tr w:rsidR="00DE546A" w14:paraId="19E64C61" w14:textId="77777777" w:rsidTr="0081049E">
        <w:tc>
          <w:tcPr>
            <w:tcW w:w="6390" w:type="dxa"/>
          </w:tcPr>
          <w:p w14:paraId="0AA8D1AC" w14:textId="77777777" w:rsidR="00DE546A" w:rsidRDefault="00FB2FAB">
            <w:r>
              <w:t>1. Assessor obtains district required consent before testing</w:t>
            </w:r>
          </w:p>
        </w:tc>
        <w:tc>
          <w:tcPr>
            <w:tcW w:w="1080" w:type="dxa"/>
          </w:tcPr>
          <w:p w14:paraId="09806637" w14:textId="77777777" w:rsidR="00DE546A" w:rsidRDefault="00DE546A"/>
        </w:tc>
        <w:tc>
          <w:tcPr>
            <w:tcW w:w="1170" w:type="dxa"/>
          </w:tcPr>
          <w:p w14:paraId="1DDDFE56" w14:textId="77777777" w:rsidR="00DE546A" w:rsidRDefault="00DE546A"/>
        </w:tc>
        <w:tc>
          <w:tcPr>
            <w:tcW w:w="1620" w:type="dxa"/>
          </w:tcPr>
          <w:p w14:paraId="6872DF1D" w14:textId="77777777" w:rsidR="00DE546A" w:rsidRDefault="00DE546A"/>
        </w:tc>
      </w:tr>
      <w:tr w:rsidR="00631C4B" w14:paraId="3E674489" w14:textId="77777777" w:rsidTr="0081049E">
        <w:tc>
          <w:tcPr>
            <w:tcW w:w="6390" w:type="dxa"/>
          </w:tcPr>
          <w:p w14:paraId="3DD6CD3C" w14:textId="5DC2E515" w:rsidR="00631C4B" w:rsidRPr="00631C4B" w:rsidRDefault="00631C4B">
            <w:pPr>
              <w:rPr>
                <w:color w:val="FF0000"/>
              </w:rPr>
            </w:pPr>
            <w:r w:rsidRPr="00C91553">
              <w:rPr>
                <w:color w:val="000000" w:themeColor="text1"/>
              </w:rPr>
              <w:t>2. Assess</w:t>
            </w:r>
            <w:r w:rsidR="00C91553" w:rsidRPr="00C91553">
              <w:rPr>
                <w:color w:val="000000" w:themeColor="text1"/>
              </w:rPr>
              <w:t>or</w:t>
            </w:r>
            <w:r w:rsidRPr="00C91553">
              <w:rPr>
                <w:color w:val="000000" w:themeColor="text1"/>
              </w:rPr>
              <w:t xml:space="preserve"> completes preference assessment before assessment</w:t>
            </w:r>
            <w:r w:rsidR="00C91553">
              <w:rPr>
                <w:color w:val="000000" w:themeColor="text1"/>
              </w:rPr>
              <w:t xml:space="preserve"> and has identified items available during assessment</w:t>
            </w:r>
            <w:r w:rsidRPr="00C91553">
              <w:rPr>
                <w:color w:val="000000" w:themeColor="text1"/>
              </w:rPr>
              <w:t xml:space="preserve"> </w:t>
            </w:r>
          </w:p>
        </w:tc>
        <w:tc>
          <w:tcPr>
            <w:tcW w:w="1080" w:type="dxa"/>
          </w:tcPr>
          <w:p w14:paraId="748C5BB9" w14:textId="77777777" w:rsidR="00631C4B" w:rsidRDefault="00631C4B"/>
        </w:tc>
        <w:tc>
          <w:tcPr>
            <w:tcW w:w="1170" w:type="dxa"/>
          </w:tcPr>
          <w:p w14:paraId="47A7BBBF" w14:textId="77777777" w:rsidR="00631C4B" w:rsidRDefault="00631C4B"/>
        </w:tc>
        <w:tc>
          <w:tcPr>
            <w:tcW w:w="1620" w:type="dxa"/>
          </w:tcPr>
          <w:p w14:paraId="08DA6BD3" w14:textId="77777777" w:rsidR="00631C4B" w:rsidRDefault="00631C4B"/>
        </w:tc>
      </w:tr>
      <w:tr w:rsidR="00631C4B" w14:paraId="141DC9C1" w14:textId="77777777" w:rsidTr="0081049E">
        <w:tc>
          <w:tcPr>
            <w:tcW w:w="6390" w:type="dxa"/>
          </w:tcPr>
          <w:p w14:paraId="3A4AC3DE" w14:textId="18DB3E55" w:rsidR="00631C4B" w:rsidRDefault="00631C4B">
            <w:pPr>
              <w:rPr>
                <w:color w:val="FF0000"/>
              </w:rPr>
            </w:pPr>
            <w:r w:rsidRPr="00C91553">
              <w:rPr>
                <w:color w:val="000000" w:themeColor="text1"/>
              </w:rPr>
              <w:t>3. Assessor completes a pre-assessment interview with parents</w:t>
            </w:r>
            <w:r w:rsidR="00C91553" w:rsidRPr="00C91553">
              <w:rPr>
                <w:color w:val="000000" w:themeColor="text1"/>
              </w:rPr>
              <w:t xml:space="preserve">, </w:t>
            </w:r>
            <w:r w:rsidRPr="00C91553">
              <w:rPr>
                <w:color w:val="000000" w:themeColor="text1"/>
              </w:rPr>
              <w:t>relevant caregiver</w:t>
            </w:r>
            <w:r w:rsidR="00C91553" w:rsidRPr="00C91553">
              <w:rPr>
                <w:color w:val="000000" w:themeColor="text1"/>
              </w:rPr>
              <w:t xml:space="preserve">, or teacher </w:t>
            </w:r>
          </w:p>
        </w:tc>
        <w:tc>
          <w:tcPr>
            <w:tcW w:w="1080" w:type="dxa"/>
          </w:tcPr>
          <w:p w14:paraId="6148ED9E" w14:textId="77777777" w:rsidR="00631C4B" w:rsidRDefault="00631C4B"/>
        </w:tc>
        <w:tc>
          <w:tcPr>
            <w:tcW w:w="1170" w:type="dxa"/>
          </w:tcPr>
          <w:p w14:paraId="45D0BBA9" w14:textId="77777777" w:rsidR="00631C4B" w:rsidRDefault="00631C4B"/>
        </w:tc>
        <w:tc>
          <w:tcPr>
            <w:tcW w:w="1620" w:type="dxa"/>
          </w:tcPr>
          <w:p w14:paraId="73BC267F" w14:textId="77777777" w:rsidR="00631C4B" w:rsidRDefault="00631C4B"/>
        </w:tc>
      </w:tr>
      <w:tr w:rsidR="00DE546A" w14:paraId="60901B28" w14:textId="77777777" w:rsidTr="0081049E">
        <w:tc>
          <w:tcPr>
            <w:tcW w:w="6390" w:type="dxa"/>
          </w:tcPr>
          <w:p w14:paraId="330CEDD8" w14:textId="18047C45" w:rsidR="00DE546A" w:rsidRDefault="00631C4B">
            <w:r>
              <w:t>4</w:t>
            </w:r>
            <w:r w:rsidR="00FB2FAB">
              <w:t xml:space="preserve">. Assessor has </w:t>
            </w:r>
            <w:r w:rsidR="005C07C4">
              <w:t xml:space="preserve">age respectful </w:t>
            </w:r>
            <w:r w:rsidR="00FB2FAB">
              <w:t>materials in the kit organized</w:t>
            </w:r>
            <w:r w:rsidR="005C07C4">
              <w:t xml:space="preserve"> by milestones/</w:t>
            </w:r>
            <w:proofErr w:type="spellStart"/>
            <w:r w:rsidR="005C07C4">
              <w:t>operants</w:t>
            </w:r>
            <w:proofErr w:type="spellEnd"/>
          </w:p>
        </w:tc>
        <w:tc>
          <w:tcPr>
            <w:tcW w:w="1080" w:type="dxa"/>
          </w:tcPr>
          <w:p w14:paraId="120D51AF" w14:textId="77777777" w:rsidR="00DE546A" w:rsidRDefault="00DE546A"/>
        </w:tc>
        <w:tc>
          <w:tcPr>
            <w:tcW w:w="1170" w:type="dxa"/>
          </w:tcPr>
          <w:p w14:paraId="240374BA" w14:textId="77777777" w:rsidR="00DE546A" w:rsidRDefault="00DE546A"/>
        </w:tc>
        <w:tc>
          <w:tcPr>
            <w:tcW w:w="1620" w:type="dxa"/>
          </w:tcPr>
          <w:p w14:paraId="33A1C85B" w14:textId="77777777" w:rsidR="00DE546A" w:rsidRDefault="00DE546A"/>
        </w:tc>
      </w:tr>
      <w:tr w:rsidR="00631C4B" w14:paraId="6A1489F6" w14:textId="77777777" w:rsidTr="0081049E">
        <w:tc>
          <w:tcPr>
            <w:tcW w:w="6390" w:type="dxa"/>
          </w:tcPr>
          <w:p w14:paraId="0BC5E8FF" w14:textId="2DF30557" w:rsidR="00631C4B" w:rsidRPr="00C91553" w:rsidRDefault="00631C4B">
            <w:pPr>
              <w:rPr>
                <w:color w:val="000000" w:themeColor="text1"/>
              </w:rPr>
            </w:pPr>
            <w:r w:rsidRPr="00C91553">
              <w:rPr>
                <w:color w:val="000000" w:themeColor="text1"/>
              </w:rPr>
              <w:t xml:space="preserve">5. Assessor structures environment according to </w:t>
            </w:r>
            <w:r w:rsidR="00C91553" w:rsidRPr="00C91553">
              <w:rPr>
                <w:color w:val="000000" w:themeColor="text1"/>
              </w:rPr>
              <w:t>parents, relevant caregiver, or teacher</w:t>
            </w:r>
            <w:r w:rsidRPr="00C91553">
              <w:rPr>
                <w:color w:val="000000" w:themeColor="text1"/>
              </w:rPr>
              <w:t xml:space="preserve"> report of </w:t>
            </w:r>
            <w:r w:rsidR="00C91553">
              <w:rPr>
                <w:color w:val="000000" w:themeColor="text1"/>
              </w:rPr>
              <w:t xml:space="preserve">the student’s </w:t>
            </w:r>
            <w:r w:rsidRPr="00C91553">
              <w:rPr>
                <w:color w:val="000000" w:themeColor="text1"/>
              </w:rPr>
              <w:t>level of instructional control (</w:t>
            </w:r>
            <w:proofErr w:type="gramStart"/>
            <w:r w:rsidRPr="00C91553">
              <w:rPr>
                <w:color w:val="000000" w:themeColor="text1"/>
              </w:rPr>
              <w:t>e.g.</w:t>
            </w:r>
            <w:proofErr w:type="gramEnd"/>
            <w:r w:rsidRPr="00C91553">
              <w:rPr>
                <w:color w:val="000000" w:themeColor="text1"/>
              </w:rPr>
              <w:t xml:space="preserve"> child will sit at a table</w:t>
            </w:r>
            <w:r w:rsidR="007471D2">
              <w:rPr>
                <w:color w:val="000000" w:themeColor="text1"/>
              </w:rPr>
              <w:t>, use of work system, visual schedule, reduces visual distraction, uses reinforcement system such as token system, edibles</w:t>
            </w:r>
            <w:r w:rsidRPr="00C91553">
              <w:rPr>
                <w:color w:val="000000" w:themeColor="text1"/>
              </w:rPr>
              <w:t xml:space="preserve">…) </w:t>
            </w:r>
          </w:p>
        </w:tc>
        <w:tc>
          <w:tcPr>
            <w:tcW w:w="1080" w:type="dxa"/>
          </w:tcPr>
          <w:p w14:paraId="42882A9F" w14:textId="77777777" w:rsidR="00631C4B" w:rsidRDefault="00631C4B"/>
        </w:tc>
        <w:tc>
          <w:tcPr>
            <w:tcW w:w="1170" w:type="dxa"/>
          </w:tcPr>
          <w:p w14:paraId="7CD7E123" w14:textId="77777777" w:rsidR="00631C4B" w:rsidRDefault="00631C4B"/>
        </w:tc>
        <w:tc>
          <w:tcPr>
            <w:tcW w:w="1620" w:type="dxa"/>
          </w:tcPr>
          <w:p w14:paraId="00E4F195" w14:textId="77777777" w:rsidR="00631C4B" w:rsidRDefault="00631C4B"/>
        </w:tc>
      </w:tr>
      <w:tr w:rsidR="00DE546A" w14:paraId="544D0C19" w14:textId="77777777" w:rsidTr="0081049E">
        <w:tc>
          <w:tcPr>
            <w:tcW w:w="6390" w:type="dxa"/>
          </w:tcPr>
          <w:p w14:paraId="136EAE0B" w14:textId="278FCC9F" w:rsidR="00DE546A" w:rsidRDefault="00631C4B">
            <w:r>
              <w:t>6</w:t>
            </w:r>
            <w:r w:rsidR="00FB2FAB">
              <w:t>. Kit contains materials for assessing milestones, a Guide Book</w:t>
            </w:r>
            <w:r w:rsidR="007471D2">
              <w:t xml:space="preserve">, </w:t>
            </w:r>
            <w:r w:rsidR="00FB2FAB">
              <w:t>a Protocol</w:t>
            </w:r>
            <w:r w:rsidR="007471D2">
              <w:t>, Pencils, and data sheets with pre-filled stimuli/materials from the assessment kit or environment for data collection</w:t>
            </w:r>
          </w:p>
        </w:tc>
        <w:tc>
          <w:tcPr>
            <w:tcW w:w="1080" w:type="dxa"/>
          </w:tcPr>
          <w:p w14:paraId="18178DAD" w14:textId="77777777" w:rsidR="00DE546A" w:rsidRDefault="00DE546A"/>
        </w:tc>
        <w:tc>
          <w:tcPr>
            <w:tcW w:w="1170" w:type="dxa"/>
          </w:tcPr>
          <w:p w14:paraId="5AA2E9BB" w14:textId="77777777" w:rsidR="00DE546A" w:rsidRDefault="00DE546A"/>
        </w:tc>
        <w:tc>
          <w:tcPr>
            <w:tcW w:w="1620" w:type="dxa"/>
          </w:tcPr>
          <w:p w14:paraId="36ED9A81" w14:textId="77777777" w:rsidR="00DE546A" w:rsidRDefault="00DE546A"/>
        </w:tc>
      </w:tr>
      <w:tr w:rsidR="00631C4B" w14:paraId="6197F80A" w14:textId="77777777" w:rsidTr="0081049E">
        <w:tc>
          <w:tcPr>
            <w:tcW w:w="6390" w:type="dxa"/>
            <w:shd w:val="clear" w:color="auto" w:fill="D9D9D9" w:themeFill="background1" w:themeFillShade="D9"/>
          </w:tcPr>
          <w:p w14:paraId="3D9B51EF" w14:textId="77FB7BA4" w:rsidR="00631C4B" w:rsidRPr="0081049E" w:rsidRDefault="00631C4B" w:rsidP="00631C4B">
            <w:pPr>
              <w:rPr>
                <w:b/>
                <w:bCs/>
                <w:color w:val="000000" w:themeColor="text1"/>
              </w:rPr>
            </w:pPr>
            <w:r w:rsidRPr="0081049E">
              <w:rPr>
                <w:b/>
                <w:bCs/>
                <w:color w:val="000000" w:themeColor="text1"/>
              </w:rPr>
              <w:t>Assessment</w:t>
            </w:r>
            <w:r w:rsidR="0081049E">
              <w:rPr>
                <w:b/>
                <w:bCs/>
                <w:color w:val="000000" w:themeColor="text1"/>
              </w:rPr>
              <w:t xml:space="preserve"> (3-4 weeks)</w:t>
            </w:r>
          </w:p>
        </w:tc>
        <w:tc>
          <w:tcPr>
            <w:tcW w:w="1080" w:type="dxa"/>
            <w:shd w:val="clear" w:color="auto" w:fill="D9D9D9" w:themeFill="background1" w:themeFillShade="D9"/>
          </w:tcPr>
          <w:p w14:paraId="0AA3174A" w14:textId="36440912" w:rsidR="00631C4B" w:rsidRPr="0081049E" w:rsidRDefault="00631C4B" w:rsidP="00631C4B">
            <w:pPr>
              <w:rPr>
                <w:b/>
                <w:bCs/>
                <w:color w:val="000000" w:themeColor="text1"/>
              </w:rPr>
            </w:pPr>
            <w:r w:rsidRPr="0081049E">
              <w:rPr>
                <w:b/>
                <w:bCs/>
                <w:color w:val="000000" w:themeColor="text1"/>
              </w:rPr>
              <w:t>Yes</w:t>
            </w:r>
          </w:p>
        </w:tc>
        <w:tc>
          <w:tcPr>
            <w:tcW w:w="1170" w:type="dxa"/>
            <w:shd w:val="clear" w:color="auto" w:fill="D9D9D9" w:themeFill="background1" w:themeFillShade="D9"/>
          </w:tcPr>
          <w:p w14:paraId="2DC11912" w14:textId="6B1CC743" w:rsidR="00631C4B" w:rsidRPr="0081049E" w:rsidRDefault="00631C4B" w:rsidP="00631C4B">
            <w:pPr>
              <w:rPr>
                <w:b/>
                <w:bCs/>
                <w:color w:val="000000" w:themeColor="text1"/>
              </w:rPr>
            </w:pPr>
            <w:r w:rsidRPr="0081049E">
              <w:rPr>
                <w:b/>
                <w:bCs/>
                <w:color w:val="000000" w:themeColor="text1"/>
              </w:rPr>
              <w:t>No</w:t>
            </w:r>
          </w:p>
        </w:tc>
        <w:tc>
          <w:tcPr>
            <w:tcW w:w="1620" w:type="dxa"/>
            <w:shd w:val="clear" w:color="auto" w:fill="D9D9D9" w:themeFill="background1" w:themeFillShade="D9"/>
          </w:tcPr>
          <w:p w14:paraId="63EBA14D" w14:textId="4A15395E" w:rsidR="00631C4B" w:rsidRPr="0081049E" w:rsidRDefault="00631C4B" w:rsidP="00631C4B">
            <w:pPr>
              <w:rPr>
                <w:b/>
                <w:bCs/>
                <w:color w:val="000000" w:themeColor="text1"/>
              </w:rPr>
            </w:pPr>
            <w:r w:rsidRPr="0081049E">
              <w:rPr>
                <w:b/>
                <w:bCs/>
                <w:color w:val="000000" w:themeColor="text1"/>
              </w:rPr>
              <w:t>N/A</w:t>
            </w:r>
          </w:p>
        </w:tc>
      </w:tr>
      <w:tr w:rsidR="00631C4B" w14:paraId="1C1CB422" w14:textId="77777777" w:rsidTr="0081049E">
        <w:tc>
          <w:tcPr>
            <w:tcW w:w="6390" w:type="dxa"/>
          </w:tcPr>
          <w:p w14:paraId="366D793D" w14:textId="22E706A6" w:rsidR="00631C4B" w:rsidRDefault="001D6C11" w:rsidP="00631C4B">
            <w:r>
              <w:t>7</w:t>
            </w:r>
            <w:r w:rsidR="00631C4B">
              <w:t xml:space="preserve">. </w:t>
            </w:r>
            <w:r w:rsidR="00DB72FA">
              <w:t>Assessor starts with pairing to earn instructional control before assessing.</w:t>
            </w:r>
          </w:p>
        </w:tc>
        <w:tc>
          <w:tcPr>
            <w:tcW w:w="1080" w:type="dxa"/>
          </w:tcPr>
          <w:p w14:paraId="20D0F686" w14:textId="77777777" w:rsidR="00631C4B" w:rsidRDefault="00631C4B" w:rsidP="00631C4B"/>
        </w:tc>
        <w:tc>
          <w:tcPr>
            <w:tcW w:w="1170" w:type="dxa"/>
          </w:tcPr>
          <w:p w14:paraId="0B8E3299" w14:textId="77777777" w:rsidR="00631C4B" w:rsidRDefault="00631C4B" w:rsidP="00631C4B"/>
        </w:tc>
        <w:tc>
          <w:tcPr>
            <w:tcW w:w="1620" w:type="dxa"/>
          </w:tcPr>
          <w:p w14:paraId="6937C8BC" w14:textId="77777777" w:rsidR="00631C4B" w:rsidRDefault="00631C4B" w:rsidP="00631C4B"/>
        </w:tc>
      </w:tr>
      <w:tr w:rsidR="00631C4B" w14:paraId="5289C7FF" w14:textId="77777777" w:rsidTr="0081049E">
        <w:tc>
          <w:tcPr>
            <w:tcW w:w="6390" w:type="dxa"/>
          </w:tcPr>
          <w:p w14:paraId="14373C0B" w14:textId="00B65651" w:rsidR="00631C4B" w:rsidRDefault="001D6C11" w:rsidP="00631C4B">
            <w:r>
              <w:t>8</w:t>
            </w:r>
            <w:r w:rsidR="00631C4B">
              <w:t xml:space="preserve">. Assessor takes the student’s </w:t>
            </w:r>
            <w:r w:rsidR="005C07C4">
              <w:t xml:space="preserve">daily </w:t>
            </w:r>
            <w:r w:rsidR="00631C4B">
              <w:t xml:space="preserve">schedule into consideration when scheduling times to test (recess, lunch, bathroom breaks, </w:t>
            </w:r>
            <w:proofErr w:type="spellStart"/>
            <w:r w:rsidR="00631C4B">
              <w:t>etc</w:t>
            </w:r>
            <w:proofErr w:type="spellEnd"/>
            <w:r w:rsidR="00631C4B">
              <w:t xml:space="preserve">) </w:t>
            </w:r>
          </w:p>
        </w:tc>
        <w:tc>
          <w:tcPr>
            <w:tcW w:w="1080" w:type="dxa"/>
          </w:tcPr>
          <w:p w14:paraId="2607349C" w14:textId="77777777" w:rsidR="00631C4B" w:rsidRDefault="00631C4B" w:rsidP="00631C4B"/>
        </w:tc>
        <w:tc>
          <w:tcPr>
            <w:tcW w:w="1170" w:type="dxa"/>
          </w:tcPr>
          <w:p w14:paraId="7D7A0A80" w14:textId="77777777" w:rsidR="00631C4B" w:rsidRDefault="00631C4B" w:rsidP="00631C4B"/>
        </w:tc>
        <w:tc>
          <w:tcPr>
            <w:tcW w:w="1620" w:type="dxa"/>
          </w:tcPr>
          <w:p w14:paraId="4DF1DBCB" w14:textId="77777777" w:rsidR="00631C4B" w:rsidRDefault="00631C4B" w:rsidP="00631C4B"/>
        </w:tc>
      </w:tr>
      <w:tr w:rsidR="00631C4B" w14:paraId="45537554" w14:textId="77777777" w:rsidTr="0081049E">
        <w:tc>
          <w:tcPr>
            <w:tcW w:w="6390" w:type="dxa"/>
          </w:tcPr>
          <w:p w14:paraId="6C5290F1" w14:textId="61DEDF71" w:rsidR="00631C4B" w:rsidRDefault="001D6C11" w:rsidP="00631C4B">
            <w:r>
              <w:t>9</w:t>
            </w:r>
            <w:r w:rsidR="00631C4B">
              <w:t>. Assessor continues testing each milestone until a ceiling is reached</w:t>
            </w:r>
            <w:r w:rsidR="005C07C4">
              <w:t xml:space="preserve"> (3 consecutive milestones scoring a 0)</w:t>
            </w:r>
          </w:p>
        </w:tc>
        <w:tc>
          <w:tcPr>
            <w:tcW w:w="1080" w:type="dxa"/>
          </w:tcPr>
          <w:p w14:paraId="368F6CA1" w14:textId="77777777" w:rsidR="00631C4B" w:rsidRDefault="00631C4B" w:rsidP="00631C4B"/>
        </w:tc>
        <w:tc>
          <w:tcPr>
            <w:tcW w:w="1170" w:type="dxa"/>
          </w:tcPr>
          <w:p w14:paraId="374738BA" w14:textId="77777777" w:rsidR="00631C4B" w:rsidRDefault="00631C4B" w:rsidP="00631C4B"/>
        </w:tc>
        <w:tc>
          <w:tcPr>
            <w:tcW w:w="1620" w:type="dxa"/>
          </w:tcPr>
          <w:p w14:paraId="4258020D" w14:textId="77777777" w:rsidR="00631C4B" w:rsidRDefault="00631C4B" w:rsidP="00631C4B"/>
        </w:tc>
      </w:tr>
      <w:tr w:rsidR="00631C4B" w14:paraId="5C812BD6" w14:textId="77777777" w:rsidTr="0081049E">
        <w:tc>
          <w:tcPr>
            <w:tcW w:w="6390" w:type="dxa"/>
          </w:tcPr>
          <w:p w14:paraId="7F4BC26B" w14:textId="25A3EC3E" w:rsidR="00F52B39" w:rsidRDefault="00DB72FA" w:rsidP="00631C4B">
            <w:r>
              <w:t>1</w:t>
            </w:r>
            <w:r w:rsidR="001D6C11">
              <w:t>0</w:t>
            </w:r>
            <w:r w:rsidR="00631C4B">
              <w:t xml:space="preserve">. </w:t>
            </w:r>
            <w:r w:rsidR="00336CBC">
              <w:t>Assessor contrives</w:t>
            </w:r>
            <w:r w:rsidR="00F52B39">
              <w:t>/creates</w:t>
            </w:r>
            <w:r w:rsidR="00336CBC">
              <w:t xml:space="preserve"> opportunities </w:t>
            </w:r>
          </w:p>
          <w:p w14:paraId="108294C7" w14:textId="77777777" w:rsidR="00F52B39" w:rsidRDefault="00336CBC" w:rsidP="00F52B39">
            <w:pPr>
              <w:pStyle w:val="ListParagraph"/>
              <w:numPr>
                <w:ilvl w:val="0"/>
                <w:numId w:val="1"/>
              </w:numPr>
            </w:pPr>
            <w:r>
              <w:t xml:space="preserve">to probe for the </w:t>
            </w:r>
            <w:proofErr w:type="spellStart"/>
            <w:r>
              <w:t>mand</w:t>
            </w:r>
            <w:proofErr w:type="spellEnd"/>
            <w:r>
              <w:t xml:space="preserve"> throughout assessment</w:t>
            </w:r>
          </w:p>
          <w:p w14:paraId="70EDB121" w14:textId="77777777" w:rsidR="00F52B39" w:rsidRDefault="00F52B39" w:rsidP="00F52B39">
            <w:pPr>
              <w:pStyle w:val="ListParagraph"/>
              <w:numPr>
                <w:ilvl w:val="0"/>
                <w:numId w:val="1"/>
              </w:numPr>
            </w:pPr>
            <w:r>
              <w:t xml:space="preserve">to </w:t>
            </w:r>
            <w:r w:rsidR="00336CBC">
              <w:t xml:space="preserve">entice the </w:t>
            </w:r>
            <w:proofErr w:type="spellStart"/>
            <w:r w:rsidR="00336CBC">
              <w:t>mand</w:t>
            </w:r>
            <w:proofErr w:type="spellEnd"/>
            <w:r w:rsidR="00336CBC">
              <w:t xml:space="preserve"> (has items available but out of reach)</w:t>
            </w:r>
          </w:p>
          <w:p w14:paraId="5A2014F1" w14:textId="77777777" w:rsidR="00631C4B" w:rsidRDefault="00336CBC" w:rsidP="00F52B39">
            <w:pPr>
              <w:pStyle w:val="ListParagraph"/>
              <w:numPr>
                <w:ilvl w:val="0"/>
                <w:numId w:val="1"/>
              </w:numPr>
            </w:pPr>
            <w:r>
              <w:t xml:space="preserve">to </w:t>
            </w:r>
            <w:proofErr w:type="spellStart"/>
            <w:r>
              <w:t>mand</w:t>
            </w:r>
            <w:proofErr w:type="spellEnd"/>
            <w:r>
              <w:t xml:space="preserve"> for missing items or actions</w:t>
            </w:r>
          </w:p>
          <w:p w14:paraId="2DC8F1BB" w14:textId="697953D8" w:rsidR="00772A90" w:rsidRDefault="005C07C4" w:rsidP="00772A90">
            <w:pPr>
              <w:pStyle w:val="ListParagraph"/>
              <w:numPr>
                <w:ilvl w:val="0"/>
                <w:numId w:val="1"/>
              </w:numPr>
            </w:pPr>
            <w:r>
              <w:t xml:space="preserve">includes </w:t>
            </w:r>
            <w:proofErr w:type="spellStart"/>
            <w:r>
              <w:t>mands</w:t>
            </w:r>
            <w:proofErr w:type="spellEnd"/>
            <w:r>
              <w:t xml:space="preserve"> for refusals</w:t>
            </w:r>
            <w:r w:rsidR="00772A90">
              <w:t xml:space="preserve"> and spontaneous </w:t>
            </w:r>
            <w:proofErr w:type="spellStart"/>
            <w:r w:rsidR="00772A90">
              <w:t>mands</w:t>
            </w:r>
            <w:proofErr w:type="spellEnd"/>
          </w:p>
        </w:tc>
        <w:tc>
          <w:tcPr>
            <w:tcW w:w="1080" w:type="dxa"/>
          </w:tcPr>
          <w:p w14:paraId="10EE6116" w14:textId="77777777" w:rsidR="00631C4B" w:rsidRDefault="00631C4B" w:rsidP="00631C4B"/>
        </w:tc>
        <w:tc>
          <w:tcPr>
            <w:tcW w:w="1170" w:type="dxa"/>
          </w:tcPr>
          <w:p w14:paraId="240F4DC7" w14:textId="77777777" w:rsidR="00631C4B" w:rsidRDefault="00631C4B" w:rsidP="00631C4B"/>
        </w:tc>
        <w:tc>
          <w:tcPr>
            <w:tcW w:w="1620" w:type="dxa"/>
          </w:tcPr>
          <w:p w14:paraId="7A279B63" w14:textId="77777777" w:rsidR="00631C4B" w:rsidRDefault="00631C4B" w:rsidP="00631C4B"/>
        </w:tc>
      </w:tr>
      <w:tr w:rsidR="00631C4B" w14:paraId="31FE347D" w14:textId="77777777" w:rsidTr="0081049E">
        <w:tc>
          <w:tcPr>
            <w:tcW w:w="6390" w:type="dxa"/>
          </w:tcPr>
          <w:p w14:paraId="627B88C8" w14:textId="5E7A4EFA" w:rsidR="00F52B39" w:rsidRDefault="00631C4B" w:rsidP="00772A90">
            <w:r>
              <w:t>1</w:t>
            </w:r>
            <w:r w:rsidR="001D6C11">
              <w:t>1</w:t>
            </w:r>
            <w:r>
              <w:t xml:space="preserve">. Assessor mixes and varies </w:t>
            </w:r>
            <w:proofErr w:type="spellStart"/>
            <w:r>
              <w:t>operants</w:t>
            </w:r>
            <w:proofErr w:type="spellEnd"/>
            <w:r>
              <w:t xml:space="preserve"> during testing</w:t>
            </w:r>
            <w:r w:rsidR="00772A90">
              <w:t xml:space="preserve"> (</w:t>
            </w:r>
            <w:r w:rsidR="00F52B39">
              <w:t>begin</w:t>
            </w:r>
            <w:r w:rsidR="002C5D1D">
              <w:t>s</w:t>
            </w:r>
            <w:r w:rsidR="00F52B39">
              <w:t xml:space="preserve"> with</w:t>
            </w:r>
            <w:r w:rsidR="002C5D1D">
              <w:t>/intersperses</w:t>
            </w:r>
            <w:r w:rsidR="00F52B39">
              <w:t xml:space="preserve"> easy tasks</w:t>
            </w:r>
            <w:r w:rsidR="00772A90">
              <w:t>)</w:t>
            </w:r>
          </w:p>
        </w:tc>
        <w:tc>
          <w:tcPr>
            <w:tcW w:w="1080" w:type="dxa"/>
          </w:tcPr>
          <w:p w14:paraId="383B4AE8" w14:textId="77777777" w:rsidR="00631C4B" w:rsidRDefault="00631C4B" w:rsidP="00631C4B"/>
        </w:tc>
        <w:tc>
          <w:tcPr>
            <w:tcW w:w="1170" w:type="dxa"/>
          </w:tcPr>
          <w:p w14:paraId="55B56F7C" w14:textId="77777777" w:rsidR="00631C4B" w:rsidRDefault="00631C4B" w:rsidP="00631C4B"/>
        </w:tc>
        <w:tc>
          <w:tcPr>
            <w:tcW w:w="1620" w:type="dxa"/>
          </w:tcPr>
          <w:p w14:paraId="2C82D3A5" w14:textId="77777777" w:rsidR="00631C4B" w:rsidRDefault="00631C4B" w:rsidP="00631C4B"/>
        </w:tc>
      </w:tr>
      <w:tr w:rsidR="00631C4B" w14:paraId="556D3330" w14:textId="77777777" w:rsidTr="0081049E">
        <w:tc>
          <w:tcPr>
            <w:tcW w:w="6390" w:type="dxa"/>
          </w:tcPr>
          <w:p w14:paraId="18D6EA7B" w14:textId="2484FE0B" w:rsidR="00631C4B" w:rsidRDefault="00631C4B" w:rsidP="00631C4B">
            <w:r>
              <w:t>1</w:t>
            </w:r>
            <w:r w:rsidR="001D6C11">
              <w:t>2</w:t>
            </w:r>
            <w:r>
              <w:t>. Assessor provides reinforcement throughout testing</w:t>
            </w:r>
          </w:p>
          <w:p w14:paraId="643FD6F1" w14:textId="77777777" w:rsidR="002C5D1D" w:rsidRDefault="007D125D" w:rsidP="002C5D1D">
            <w:pPr>
              <w:pStyle w:val="ListParagraph"/>
              <w:numPr>
                <w:ilvl w:val="0"/>
                <w:numId w:val="2"/>
              </w:numPr>
            </w:pPr>
            <w:r>
              <w:t>controls access to preferred items</w:t>
            </w:r>
          </w:p>
          <w:p w14:paraId="69CC3AB2" w14:textId="77777777" w:rsidR="007D125D" w:rsidRDefault="007D125D" w:rsidP="002C5D1D">
            <w:pPr>
              <w:pStyle w:val="ListParagraph"/>
              <w:numPr>
                <w:ilvl w:val="0"/>
                <w:numId w:val="2"/>
              </w:numPr>
            </w:pPr>
            <w:r>
              <w:t>uses student’s VR schedule and intersperses easy items to reduce challenging behaviors</w:t>
            </w:r>
          </w:p>
          <w:p w14:paraId="00306732" w14:textId="5F7F435B" w:rsidR="007D125D" w:rsidRDefault="007D125D" w:rsidP="002C5D1D">
            <w:pPr>
              <w:pStyle w:val="ListParagraph"/>
              <w:numPr>
                <w:ilvl w:val="0"/>
                <w:numId w:val="2"/>
              </w:numPr>
            </w:pPr>
            <w:r>
              <w:t>opportunities for choice</w:t>
            </w:r>
          </w:p>
        </w:tc>
        <w:tc>
          <w:tcPr>
            <w:tcW w:w="1080" w:type="dxa"/>
          </w:tcPr>
          <w:p w14:paraId="5BF39D17" w14:textId="77777777" w:rsidR="00631C4B" w:rsidRDefault="00631C4B" w:rsidP="00631C4B"/>
        </w:tc>
        <w:tc>
          <w:tcPr>
            <w:tcW w:w="1170" w:type="dxa"/>
          </w:tcPr>
          <w:p w14:paraId="2BDE507A" w14:textId="77777777" w:rsidR="00631C4B" w:rsidRDefault="00631C4B" w:rsidP="00631C4B"/>
        </w:tc>
        <w:tc>
          <w:tcPr>
            <w:tcW w:w="1620" w:type="dxa"/>
          </w:tcPr>
          <w:p w14:paraId="0AC22760" w14:textId="77777777" w:rsidR="00631C4B" w:rsidRDefault="00631C4B" w:rsidP="00631C4B"/>
        </w:tc>
      </w:tr>
      <w:tr w:rsidR="00631C4B" w14:paraId="012C2804" w14:textId="77777777" w:rsidTr="0081049E">
        <w:tc>
          <w:tcPr>
            <w:tcW w:w="6390" w:type="dxa"/>
          </w:tcPr>
          <w:p w14:paraId="5951A3CF" w14:textId="73EBF808" w:rsidR="00631C4B" w:rsidRDefault="00631C4B" w:rsidP="00631C4B">
            <w:r>
              <w:lastRenderedPageBreak/>
              <w:t>1</w:t>
            </w:r>
            <w:r w:rsidR="001D6C11">
              <w:t>3</w:t>
            </w:r>
            <w:r>
              <w:t xml:space="preserve">. Assessor </w:t>
            </w:r>
            <w:r w:rsidR="002C5D1D">
              <w:t>implements</w:t>
            </w:r>
            <w:r>
              <w:t xml:space="preserve"> the student’s current work system or schedule</w:t>
            </w:r>
            <w:r w:rsidR="002C5D1D">
              <w:t xml:space="preserve"> throughout assessment</w:t>
            </w:r>
          </w:p>
        </w:tc>
        <w:tc>
          <w:tcPr>
            <w:tcW w:w="1080" w:type="dxa"/>
          </w:tcPr>
          <w:p w14:paraId="2C062134" w14:textId="77777777" w:rsidR="00631C4B" w:rsidRDefault="00631C4B" w:rsidP="00631C4B"/>
        </w:tc>
        <w:tc>
          <w:tcPr>
            <w:tcW w:w="1170" w:type="dxa"/>
          </w:tcPr>
          <w:p w14:paraId="02349C0A" w14:textId="77777777" w:rsidR="00631C4B" w:rsidRDefault="00631C4B" w:rsidP="00631C4B"/>
        </w:tc>
        <w:tc>
          <w:tcPr>
            <w:tcW w:w="1620" w:type="dxa"/>
          </w:tcPr>
          <w:p w14:paraId="3752DE6F" w14:textId="77777777" w:rsidR="00631C4B" w:rsidRDefault="00631C4B" w:rsidP="00631C4B"/>
        </w:tc>
      </w:tr>
      <w:tr w:rsidR="007D125D" w14:paraId="50B4730C" w14:textId="77777777" w:rsidTr="0081049E">
        <w:tc>
          <w:tcPr>
            <w:tcW w:w="6390" w:type="dxa"/>
          </w:tcPr>
          <w:p w14:paraId="278EA114" w14:textId="4D23832D" w:rsidR="007D125D" w:rsidRDefault="007D125D" w:rsidP="00631C4B">
            <w:r>
              <w:t>1</w:t>
            </w:r>
            <w:r w:rsidR="001D6C11">
              <w:t>4</w:t>
            </w:r>
            <w:r>
              <w:t>. Provides frequent breaks for play/leisure</w:t>
            </w:r>
            <w:r w:rsidR="00420151">
              <w:t xml:space="preserve"> to prevent problem behavior </w:t>
            </w:r>
          </w:p>
          <w:p w14:paraId="66BAB484" w14:textId="77777777" w:rsidR="007D125D" w:rsidRDefault="007D125D" w:rsidP="007D125D">
            <w:pPr>
              <w:pStyle w:val="ListParagraph"/>
              <w:numPr>
                <w:ilvl w:val="0"/>
                <w:numId w:val="3"/>
              </w:numPr>
            </w:pPr>
            <w:r>
              <w:t xml:space="preserve">If student avoids </w:t>
            </w:r>
            <w:r w:rsidR="00420151">
              <w:t>assessment items during direct testing, assessor may represent items during play/leisure</w:t>
            </w:r>
          </w:p>
          <w:p w14:paraId="225155D9" w14:textId="5D95FAC9" w:rsidR="00420151" w:rsidRDefault="004E18FE" w:rsidP="007D125D">
            <w:pPr>
              <w:pStyle w:val="ListParagraph"/>
              <w:numPr>
                <w:ilvl w:val="0"/>
                <w:numId w:val="3"/>
              </w:numPr>
            </w:pPr>
            <w:r>
              <w:t>Assessor f</w:t>
            </w:r>
            <w:r w:rsidR="00420151">
              <w:t>ollows student</w:t>
            </w:r>
            <w:r>
              <w:t>’s</w:t>
            </w:r>
            <w:r w:rsidR="00420151">
              <w:t xml:space="preserve"> lead</w:t>
            </w:r>
          </w:p>
        </w:tc>
        <w:tc>
          <w:tcPr>
            <w:tcW w:w="1080" w:type="dxa"/>
          </w:tcPr>
          <w:p w14:paraId="25573735" w14:textId="77777777" w:rsidR="007D125D" w:rsidRDefault="007D125D" w:rsidP="00631C4B"/>
        </w:tc>
        <w:tc>
          <w:tcPr>
            <w:tcW w:w="1170" w:type="dxa"/>
          </w:tcPr>
          <w:p w14:paraId="1DEDA9C6" w14:textId="77777777" w:rsidR="007D125D" w:rsidRDefault="007D125D" w:rsidP="00631C4B"/>
        </w:tc>
        <w:tc>
          <w:tcPr>
            <w:tcW w:w="1620" w:type="dxa"/>
          </w:tcPr>
          <w:p w14:paraId="4196C947" w14:textId="77777777" w:rsidR="007D125D" w:rsidRDefault="007D125D" w:rsidP="00631C4B"/>
        </w:tc>
      </w:tr>
      <w:tr w:rsidR="00631C4B" w14:paraId="7CC71043" w14:textId="77777777" w:rsidTr="0081049E">
        <w:tc>
          <w:tcPr>
            <w:tcW w:w="6390" w:type="dxa"/>
          </w:tcPr>
          <w:p w14:paraId="211092BF" w14:textId="61915CA1" w:rsidR="00631C4B" w:rsidRDefault="00631C4B" w:rsidP="00631C4B">
            <w:r>
              <w:t>1</w:t>
            </w:r>
            <w:r w:rsidR="001D6C11">
              <w:t>5</w:t>
            </w:r>
            <w:r>
              <w:t>. Assessor meets with the team to discuss the scoring of the barriers assessment</w:t>
            </w:r>
          </w:p>
        </w:tc>
        <w:tc>
          <w:tcPr>
            <w:tcW w:w="1080" w:type="dxa"/>
          </w:tcPr>
          <w:p w14:paraId="13DA5B84" w14:textId="77777777" w:rsidR="00631C4B" w:rsidRDefault="00631C4B" w:rsidP="00631C4B"/>
        </w:tc>
        <w:tc>
          <w:tcPr>
            <w:tcW w:w="1170" w:type="dxa"/>
          </w:tcPr>
          <w:p w14:paraId="3AF59E49" w14:textId="77777777" w:rsidR="00631C4B" w:rsidRDefault="00631C4B" w:rsidP="00631C4B"/>
        </w:tc>
        <w:tc>
          <w:tcPr>
            <w:tcW w:w="1620" w:type="dxa"/>
          </w:tcPr>
          <w:p w14:paraId="7BC62D5C" w14:textId="77777777" w:rsidR="00631C4B" w:rsidRDefault="00631C4B" w:rsidP="00631C4B"/>
        </w:tc>
      </w:tr>
      <w:tr w:rsidR="00631C4B" w14:paraId="1474C586" w14:textId="77777777" w:rsidTr="0081049E">
        <w:tc>
          <w:tcPr>
            <w:tcW w:w="6390" w:type="dxa"/>
          </w:tcPr>
          <w:p w14:paraId="74653169" w14:textId="09715F7C" w:rsidR="00631C4B" w:rsidRDefault="00631C4B" w:rsidP="00631C4B">
            <w:r>
              <w:t>1</w:t>
            </w:r>
            <w:r w:rsidR="001D6C11">
              <w:t>6</w:t>
            </w:r>
            <w:r>
              <w:t>.  Assessor meets with the team to discuss the scoring of the transition assessment</w:t>
            </w:r>
          </w:p>
        </w:tc>
        <w:tc>
          <w:tcPr>
            <w:tcW w:w="1080" w:type="dxa"/>
          </w:tcPr>
          <w:p w14:paraId="692580F4" w14:textId="77777777" w:rsidR="00631C4B" w:rsidRDefault="00631C4B" w:rsidP="00631C4B"/>
        </w:tc>
        <w:tc>
          <w:tcPr>
            <w:tcW w:w="1170" w:type="dxa"/>
          </w:tcPr>
          <w:p w14:paraId="5ED0FB90" w14:textId="77777777" w:rsidR="00631C4B" w:rsidRDefault="00631C4B" w:rsidP="00631C4B"/>
        </w:tc>
        <w:tc>
          <w:tcPr>
            <w:tcW w:w="1620" w:type="dxa"/>
          </w:tcPr>
          <w:p w14:paraId="124FA4DF" w14:textId="77777777" w:rsidR="00631C4B" w:rsidRDefault="00631C4B" w:rsidP="00631C4B"/>
        </w:tc>
      </w:tr>
      <w:tr w:rsidR="00631C4B" w14:paraId="5D1A9A06" w14:textId="77777777" w:rsidTr="0081049E">
        <w:tc>
          <w:tcPr>
            <w:tcW w:w="6390" w:type="dxa"/>
          </w:tcPr>
          <w:p w14:paraId="65C8E568" w14:textId="1B7C6103" w:rsidR="00631C4B" w:rsidRDefault="0081049E" w:rsidP="00631C4B">
            <w:r>
              <w:t>1</w:t>
            </w:r>
            <w:r w:rsidR="001D6C11">
              <w:t>7</w:t>
            </w:r>
            <w:r w:rsidR="00631C4B">
              <w:t>. Assessment report is written in parent-friendly language</w:t>
            </w:r>
            <w:r w:rsidR="00772A90">
              <w:t xml:space="preserve"> (</w:t>
            </w:r>
            <w:proofErr w:type="spellStart"/>
            <w:r w:rsidR="00772A90">
              <w:t>o</w:t>
            </w:r>
            <w:r w:rsidR="00631C4B">
              <w:t>perants</w:t>
            </w:r>
            <w:proofErr w:type="spellEnd"/>
            <w:r w:rsidR="00631C4B">
              <w:t xml:space="preserve"> and other </w:t>
            </w:r>
            <w:r w:rsidR="00772A90">
              <w:t xml:space="preserve">technical </w:t>
            </w:r>
            <w:r w:rsidR="00631C4B">
              <w:t>terms are explained</w:t>
            </w:r>
            <w:r w:rsidR="00772A90">
              <w:t>)</w:t>
            </w:r>
          </w:p>
        </w:tc>
        <w:tc>
          <w:tcPr>
            <w:tcW w:w="1080" w:type="dxa"/>
          </w:tcPr>
          <w:p w14:paraId="6715B97F" w14:textId="77777777" w:rsidR="00631C4B" w:rsidRDefault="00631C4B" w:rsidP="00631C4B"/>
        </w:tc>
        <w:tc>
          <w:tcPr>
            <w:tcW w:w="1170" w:type="dxa"/>
          </w:tcPr>
          <w:p w14:paraId="477A1A7F" w14:textId="77777777" w:rsidR="00631C4B" w:rsidRDefault="00631C4B" w:rsidP="00631C4B"/>
        </w:tc>
        <w:tc>
          <w:tcPr>
            <w:tcW w:w="1620" w:type="dxa"/>
          </w:tcPr>
          <w:p w14:paraId="3257606A" w14:textId="77777777" w:rsidR="00631C4B" w:rsidRDefault="00631C4B" w:rsidP="00631C4B"/>
        </w:tc>
      </w:tr>
      <w:tr w:rsidR="0081049E" w14:paraId="14043992" w14:textId="77777777" w:rsidTr="0081049E">
        <w:tc>
          <w:tcPr>
            <w:tcW w:w="6390" w:type="dxa"/>
            <w:shd w:val="clear" w:color="auto" w:fill="D9D9D9" w:themeFill="background1" w:themeFillShade="D9"/>
          </w:tcPr>
          <w:p w14:paraId="666CCE1B" w14:textId="38B2C037" w:rsidR="0081049E" w:rsidRPr="0081049E" w:rsidRDefault="0081049E" w:rsidP="0081049E">
            <w:pPr>
              <w:rPr>
                <w:b/>
                <w:bCs/>
              </w:rPr>
            </w:pPr>
            <w:r w:rsidRPr="0081049E">
              <w:rPr>
                <w:b/>
                <w:bCs/>
              </w:rPr>
              <w:t>P</w:t>
            </w:r>
            <w:r w:rsidR="0066433C">
              <w:rPr>
                <w:b/>
                <w:bCs/>
              </w:rPr>
              <w:t xml:space="preserve">rogram Development </w:t>
            </w:r>
            <w:r w:rsidRPr="0081049E">
              <w:rPr>
                <w:b/>
                <w:bCs/>
              </w:rPr>
              <w:t>(1-2 weeks)</w:t>
            </w:r>
          </w:p>
        </w:tc>
        <w:tc>
          <w:tcPr>
            <w:tcW w:w="1080" w:type="dxa"/>
            <w:shd w:val="clear" w:color="auto" w:fill="D9D9D9" w:themeFill="background1" w:themeFillShade="D9"/>
          </w:tcPr>
          <w:p w14:paraId="772BD4AC" w14:textId="0D92901C" w:rsidR="0081049E" w:rsidRPr="0081049E" w:rsidRDefault="0081049E" w:rsidP="0081049E">
            <w:pPr>
              <w:rPr>
                <w:b/>
                <w:bCs/>
              </w:rPr>
            </w:pPr>
            <w:r w:rsidRPr="0081049E">
              <w:rPr>
                <w:b/>
                <w:bCs/>
                <w:color w:val="000000" w:themeColor="text1"/>
              </w:rPr>
              <w:t>Yes</w:t>
            </w:r>
          </w:p>
        </w:tc>
        <w:tc>
          <w:tcPr>
            <w:tcW w:w="1170" w:type="dxa"/>
            <w:shd w:val="clear" w:color="auto" w:fill="D9D9D9" w:themeFill="background1" w:themeFillShade="D9"/>
          </w:tcPr>
          <w:p w14:paraId="678AB5C8" w14:textId="4AAF350C" w:rsidR="0081049E" w:rsidRPr="0081049E" w:rsidRDefault="0081049E" w:rsidP="0081049E">
            <w:pPr>
              <w:rPr>
                <w:b/>
                <w:bCs/>
              </w:rPr>
            </w:pPr>
            <w:r w:rsidRPr="0081049E">
              <w:rPr>
                <w:b/>
                <w:bCs/>
                <w:color w:val="000000" w:themeColor="text1"/>
              </w:rPr>
              <w:t>No</w:t>
            </w:r>
          </w:p>
        </w:tc>
        <w:tc>
          <w:tcPr>
            <w:tcW w:w="1620" w:type="dxa"/>
            <w:shd w:val="clear" w:color="auto" w:fill="D9D9D9" w:themeFill="background1" w:themeFillShade="D9"/>
          </w:tcPr>
          <w:p w14:paraId="4F6C97B1" w14:textId="3E92F403" w:rsidR="0081049E" w:rsidRPr="0081049E" w:rsidRDefault="0081049E" w:rsidP="0081049E">
            <w:pPr>
              <w:rPr>
                <w:b/>
                <w:bCs/>
              </w:rPr>
            </w:pPr>
            <w:r w:rsidRPr="0081049E">
              <w:rPr>
                <w:b/>
                <w:bCs/>
                <w:color w:val="000000" w:themeColor="text1"/>
              </w:rPr>
              <w:t>N/A</w:t>
            </w:r>
          </w:p>
        </w:tc>
      </w:tr>
      <w:tr w:rsidR="0081049E" w14:paraId="3701F08E" w14:textId="77777777" w:rsidTr="0081049E">
        <w:tc>
          <w:tcPr>
            <w:tcW w:w="6390" w:type="dxa"/>
          </w:tcPr>
          <w:p w14:paraId="7F534BF8" w14:textId="202A38C5" w:rsidR="0081049E" w:rsidRDefault="001D6C11" w:rsidP="0081049E">
            <w:r>
              <w:t>18</w:t>
            </w:r>
            <w:r w:rsidR="0081049E">
              <w:t>. Assessor and team use the Kansas Essential Elements and assessment results to develop IEP goals</w:t>
            </w:r>
          </w:p>
        </w:tc>
        <w:tc>
          <w:tcPr>
            <w:tcW w:w="1080" w:type="dxa"/>
          </w:tcPr>
          <w:p w14:paraId="399665C6" w14:textId="77777777" w:rsidR="0081049E" w:rsidRDefault="0081049E" w:rsidP="0081049E"/>
        </w:tc>
        <w:tc>
          <w:tcPr>
            <w:tcW w:w="1170" w:type="dxa"/>
          </w:tcPr>
          <w:p w14:paraId="59CB405C" w14:textId="77777777" w:rsidR="0081049E" w:rsidRDefault="0081049E" w:rsidP="0081049E"/>
        </w:tc>
        <w:tc>
          <w:tcPr>
            <w:tcW w:w="1620" w:type="dxa"/>
          </w:tcPr>
          <w:p w14:paraId="6570E4AF" w14:textId="77777777" w:rsidR="0081049E" w:rsidRDefault="0081049E" w:rsidP="0081049E"/>
        </w:tc>
      </w:tr>
      <w:tr w:rsidR="0081049E" w14:paraId="0AC5236E" w14:textId="77777777" w:rsidTr="0081049E">
        <w:tc>
          <w:tcPr>
            <w:tcW w:w="6390" w:type="dxa"/>
          </w:tcPr>
          <w:p w14:paraId="5022BCB9" w14:textId="77A837B4" w:rsidR="0081049E" w:rsidRDefault="001D6C11" w:rsidP="0081049E">
            <w:r>
              <w:t>19</w:t>
            </w:r>
            <w:r w:rsidR="0081049E">
              <w:t xml:space="preserve">. The team develops an intervention program to address the barriers that are impacting language and learning </w:t>
            </w:r>
          </w:p>
        </w:tc>
        <w:tc>
          <w:tcPr>
            <w:tcW w:w="1080" w:type="dxa"/>
          </w:tcPr>
          <w:p w14:paraId="5FAEE99C" w14:textId="77777777" w:rsidR="0081049E" w:rsidRDefault="0081049E" w:rsidP="0081049E"/>
        </w:tc>
        <w:tc>
          <w:tcPr>
            <w:tcW w:w="1170" w:type="dxa"/>
          </w:tcPr>
          <w:p w14:paraId="5444EECC" w14:textId="77777777" w:rsidR="0081049E" w:rsidRDefault="0081049E" w:rsidP="0081049E"/>
        </w:tc>
        <w:tc>
          <w:tcPr>
            <w:tcW w:w="1620" w:type="dxa"/>
          </w:tcPr>
          <w:p w14:paraId="7389DBE0" w14:textId="77777777" w:rsidR="0081049E" w:rsidRDefault="0081049E" w:rsidP="0081049E"/>
        </w:tc>
      </w:tr>
      <w:tr w:rsidR="0081049E" w14:paraId="49E99FBB" w14:textId="77777777" w:rsidTr="0081049E">
        <w:tc>
          <w:tcPr>
            <w:tcW w:w="6390" w:type="dxa"/>
          </w:tcPr>
          <w:p w14:paraId="5203FC64" w14:textId="11537F51" w:rsidR="0081049E" w:rsidRDefault="0081049E" w:rsidP="0081049E">
            <w:r>
              <w:t>2</w:t>
            </w:r>
            <w:r w:rsidR="001D6C11">
              <w:t>0</w:t>
            </w:r>
            <w:r>
              <w:t>. Programming is developed based on the VB-MAPP milestones and other assessment results</w:t>
            </w:r>
          </w:p>
        </w:tc>
        <w:tc>
          <w:tcPr>
            <w:tcW w:w="1080" w:type="dxa"/>
          </w:tcPr>
          <w:p w14:paraId="7DF6629D" w14:textId="77777777" w:rsidR="0081049E" w:rsidRDefault="0081049E" w:rsidP="0081049E"/>
        </w:tc>
        <w:tc>
          <w:tcPr>
            <w:tcW w:w="1170" w:type="dxa"/>
          </w:tcPr>
          <w:p w14:paraId="70321C84" w14:textId="77777777" w:rsidR="0081049E" w:rsidRDefault="0081049E" w:rsidP="0081049E"/>
        </w:tc>
        <w:tc>
          <w:tcPr>
            <w:tcW w:w="1620" w:type="dxa"/>
          </w:tcPr>
          <w:p w14:paraId="4D7CDAFB" w14:textId="77777777" w:rsidR="0081049E" w:rsidRDefault="0081049E" w:rsidP="0081049E"/>
        </w:tc>
      </w:tr>
      <w:tr w:rsidR="0081049E" w14:paraId="2FA08191" w14:textId="77777777" w:rsidTr="0081049E">
        <w:tc>
          <w:tcPr>
            <w:tcW w:w="6390" w:type="dxa"/>
          </w:tcPr>
          <w:p w14:paraId="1E1554A3" w14:textId="223F909F" w:rsidR="0081049E" w:rsidRDefault="0081049E" w:rsidP="0081049E">
            <w:r>
              <w:t>2</w:t>
            </w:r>
            <w:r w:rsidR="001D6C11">
              <w:t>1</w:t>
            </w:r>
            <w:r>
              <w:t>. VB-MAPP Master Scoring Grids are included in the program book to guide future learning targets</w:t>
            </w:r>
          </w:p>
        </w:tc>
        <w:tc>
          <w:tcPr>
            <w:tcW w:w="1080" w:type="dxa"/>
          </w:tcPr>
          <w:p w14:paraId="335CAD02" w14:textId="77777777" w:rsidR="0081049E" w:rsidRDefault="0081049E" w:rsidP="0081049E"/>
        </w:tc>
        <w:tc>
          <w:tcPr>
            <w:tcW w:w="1170" w:type="dxa"/>
          </w:tcPr>
          <w:p w14:paraId="0565FD9F" w14:textId="77777777" w:rsidR="0081049E" w:rsidRDefault="0081049E" w:rsidP="0081049E"/>
        </w:tc>
        <w:tc>
          <w:tcPr>
            <w:tcW w:w="1620" w:type="dxa"/>
          </w:tcPr>
          <w:p w14:paraId="34BF72B6" w14:textId="77777777" w:rsidR="0081049E" w:rsidRDefault="0081049E" w:rsidP="0081049E"/>
        </w:tc>
      </w:tr>
      <w:tr w:rsidR="0081049E" w14:paraId="64E6C165" w14:textId="77777777" w:rsidTr="0081049E">
        <w:trPr>
          <w:trHeight w:val="240"/>
        </w:trPr>
        <w:tc>
          <w:tcPr>
            <w:tcW w:w="6390" w:type="dxa"/>
          </w:tcPr>
          <w:p w14:paraId="6093B803" w14:textId="77777777" w:rsidR="0081049E" w:rsidRDefault="0081049E" w:rsidP="0081049E">
            <w:r>
              <w:t xml:space="preserve">Notes: </w:t>
            </w:r>
          </w:p>
          <w:p w14:paraId="1E073125" w14:textId="77777777" w:rsidR="0081049E" w:rsidRDefault="0081049E" w:rsidP="0081049E"/>
          <w:p w14:paraId="14F51B0E" w14:textId="77777777" w:rsidR="0081049E" w:rsidRDefault="0081049E" w:rsidP="0081049E"/>
          <w:p w14:paraId="1A1BADEC" w14:textId="77777777" w:rsidR="0081049E" w:rsidRDefault="0081049E" w:rsidP="0081049E"/>
        </w:tc>
        <w:tc>
          <w:tcPr>
            <w:tcW w:w="3870" w:type="dxa"/>
            <w:gridSpan w:val="3"/>
          </w:tcPr>
          <w:p w14:paraId="32EBF54D" w14:textId="77777777" w:rsidR="0081049E" w:rsidRDefault="0081049E" w:rsidP="0081049E">
            <w:pPr>
              <w:jc w:val="center"/>
              <w:rPr>
                <w:sz w:val="32"/>
                <w:szCs w:val="32"/>
              </w:rPr>
            </w:pPr>
          </w:p>
          <w:p w14:paraId="212E5827" w14:textId="247D7242" w:rsidR="0081049E" w:rsidRDefault="0081049E" w:rsidP="0081049E">
            <w:pPr>
              <w:jc w:val="center"/>
              <w:rPr>
                <w:sz w:val="32"/>
                <w:szCs w:val="32"/>
              </w:rPr>
            </w:pPr>
            <w:r>
              <w:rPr>
                <w:sz w:val="32"/>
                <w:szCs w:val="32"/>
              </w:rPr>
              <w:t>_______/2</w:t>
            </w:r>
            <w:r w:rsidR="001D6C11">
              <w:rPr>
                <w:sz w:val="32"/>
                <w:szCs w:val="32"/>
              </w:rPr>
              <w:t>1</w:t>
            </w:r>
          </w:p>
          <w:p w14:paraId="09F88718" w14:textId="77777777" w:rsidR="0081049E" w:rsidRDefault="0081049E" w:rsidP="0081049E">
            <w:pPr>
              <w:jc w:val="center"/>
              <w:rPr>
                <w:sz w:val="32"/>
                <w:szCs w:val="32"/>
              </w:rPr>
            </w:pPr>
          </w:p>
          <w:p w14:paraId="1E635CAB" w14:textId="77777777" w:rsidR="0081049E" w:rsidRDefault="0081049E" w:rsidP="0081049E">
            <w:pPr>
              <w:jc w:val="center"/>
            </w:pPr>
            <w:r>
              <w:t>Percentage of Y’s:</w:t>
            </w:r>
          </w:p>
        </w:tc>
      </w:tr>
    </w:tbl>
    <w:p w14:paraId="4C2982E9" w14:textId="6F8FF1F8" w:rsidR="00C73F89" w:rsidRDefault="00C73F89">
      <w:pPr>
        <w:rPr>
          <w:sz w:val="16"/>
          <w:szCs w:val="16"/>
        </w:rPr>
      </w:pPr>
    </w:p>
    <w:p w14:paraId="0042A252" w14:textId="7B13918A" w:rsidR="00C73F89" w:rsidRPr="00393C11" w:rsidRDefault="00C73F89" w:rsidP="00C73F89">
      <w:pPr>
        <w:pStyle w:val="NormalWeb"/>
        <w:spacing w:before="0" w:beforeAutospacing="0" w:after="0" w:afterAutospacing="0"/>
        <w:ind w:left="567" w:hanging="567"/>
        <w:rPr>
          <w:sz w:val="16"/>
          <w:szCs w:val="16"/>
        </w:rPr>
      </w:pPr>
      <w:r w:rsidRPr="00393C11">
        <w:rPr>
          <w:sz w:val="16"/>
          <w:szCs w:val="16"/>
        </w:rPr>
        <w:t xml:space="preserve">Resource: Barnes, C. S., Mellor, J. R., &amp; Rehfeldt, R. A. (2014). Implementing the verbal behavior milestones assessment and placement program (VB-MAPP): Teaching assessment techniques. </w:t>
      </w:r>
      <w:r w:rsidRPr="00393C11">
        <w:rPr>
          <w:i/>
          <w:iCs/>
          <w:sz w:val="16"/>
          <w:szCs w:val="16"/>
        </w:rPr>
        <w:t>The Analysis of Verbal Behavior</w:t>
      </w:r>
      <w:r w:rsidRPr="00393C11">
        <w:rPr>
          <w:sz w:val="16"/>
          <w:szCs w:val="16"/>
        </w:rPr>
        <w:t xml:space="preserve">, </w:t>
      </w:r>
      <w:r w:rsidRPr="00393C11">
        <w:rPr>
          <w:i/>
          <w:iCs/>
          <w:sz w:val="16"/>
          <w:szCs w:val="16"/>
        </w:rPr>
        <w:t>30</w:t>
      </w:r>
      <w:r w:rsidRPr="00393C11">
        <w:rPr>
          <w:sz w:val="16"/>
          <w:szCs w:val="16"/>
        </w:rPr>
        <w:t xml:space="preserve">(1), 36–47. https://doi.org/10.1007/s40616-013-0004-5 </w:t>
      </w:r>
    </w:p>
    <w:p w14:paraId="0102CDFE" w14:textId="77777777" w:rsidR="00C73F89" w:rsidRPr="00393C11" w:rsidRDefault="00C73F89" w:rsidP="00C73F89">
      <w:pPr>
        <w:pStyle w:val="NormalWeb"/>
        <w:spacing w:before="0" w:beforeAutospacing="0" w:after="0" w:afterAutospacing="0"/>
        <w:ind w:left="567" w:hanging="567"/>
        <w:rPr>
          <w:sz w:val="16"/>
          <w:szCs w:val="16"/>
        </w:rPr>
      </w:pPr>
    </w:p>
    <w:p w14:paraId="440EBC36" w14:textId="750E03C6" w:rsidR="00C73F89" w:rsidRPr="00393C11" w:rsidRDefault="00C73F89" w:rsidP="00C73F89">
      <w:pPr>
        <w:rPr>
          <w:rFonts w:ascii="Arial" w:eastAsia="Arial" w:hAnsi="Arial" w:cs="Arial"/>
          <w:sz w:val="16"/>
          <w:szCs w:val="16"/>
        </w:rPr>
      </w:pPr>
      <w:r w:rsidRPr="00393C11">
        <w:rPr>
          <w:rFonts w:ascii="Arial" w:eastAsia="Arial" w:hAnsi="Arial" w:cs="Arial"/>
          <w:sz w:val="16"/>
          <w:szCs w:val="16"/>
        </w:rPr>
        <w:t xml:space="preserve">The contents of this resource were developed under an agreement from the Federal Department of Education to the Kansas State Department of Education. However, </w:t>
      </w:r>
      <w:proofErr w:type="gramStart"/>
      <w:r w:rsidRPr="00393C11">
        <w:rPr>
          <w:rFonts w:ascii="Arial" w:eastAsia="Arial" w:hAnsi="Arial" w:cs="Arial"/>
          <w:sz w:val="16"/>
          <w:szCs w:val="16"/>
        </w:rPr>
        <w:t>The</w:t>
      </w:r>
      <w:proofErr w:type="gramEnd"/>
      <w:r w:rsidRPr="00393C11">
        <w:rPr>
          <w:rFonts w:ascii="Arial" w:eastAsia="Arial" w:hAnsi="Arial" w:cs="Arial"/>
          <w:sz w:val="16"/>
          <w:szCs w:val="16"/>
        </w:rPr>
        <w:t xml:space="preserve"> contents do not necessarily represent the policy of the Department of Education, and endorsement by the Kansas State Department of Education or the Federal Government should not be assumed TASN ATBS is funded through Part B funds administered by the Kansas State Department of Education’s Early Childhood, Special Education and Title Services.  Keystone Learning Services does not discriminate on the basis of race, color, national origin, sex, disability, or age in this program and activities. The following person has been designated to handle inquiries regarding the non-discrimination policies: Keystone Learning Services Executive Director, 500 E. Sunflower Blvd, Ozawkie, KS 66070, 785-876-2214.</w:t>
      </w:r>
    </w:p>
    <w:sectPr w:rsidR="00C73F89" w:rsidRPr="00393C11">
      <w:headerReference w:type="default" r:id="rId8"/>
      <w:footerReference w:type="default" r:id="rId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1C4E" w14:textId="77777777" w:rsidR="00C804A6" w:rsidRDefault="00C804A6">
      <w:r>
        <w:separator/>
      </w:r>
    </w:p>
  </w:endnote>
  <w:endnote w:type="continuationSeparator" w:id="0">
    <w:p w14:paraId="67C66CAB" w14:textId="77777777" w:rsidR="00C804A6" w:rsidRDefault="00C8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鷀Ϊ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D136" w14:textId="109885E2" w:rsidR="00C73F89" w:rsidRDefault="00C73F89" w:rsidP="00C73F89">
    <w:pPr>
      <w:pStyle w:val="NormalWeb"/>
      <w:ind w:left="567" w:hanging="56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EE8A" w14:textId="77777777" w:rsidR="00C804A6" w:rsidRDefault="00C804A6">
      <w:r>
        <w:separator/>
      </w:r>
    </w:p>
  </w:footnote>
  <w:footnote w:type="continuationSeparator" w:id="0">
    <w:p w14:paraId="6EE2F22F" w14:textId="77777777" w:rsidR="00C804A6" w:rsidRDefault="00C8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2EF1" w14:textId="6CEDD48D" w:rsidR="00DE546A" w:rsidRDefault="00193B16">
    <w:pPr>
      <w:jc w:val="center"/>
      <w:rPr>
        <w:sz w:val="32"/>
        <w:szCs w:val="32"/>
      </w:rPr>
    </w:pPr>
    <w:r>
      <w:rPr>
        <w:rFonts w:ascii="Arial" w:eastAsia="Arial" w:hAnsi="Arial" w:cs="Arial"/>
        <w:noProof/>
      </w:rPr>
      <w:drawing>
        <wp:anchor distT="0" distB="0" distL="114300" distR="114300" simplePos="0" relativeHeight="251658240" behindDoc="0" locked="0" layoutInCell="1" allowOverlap="1" wp14:anchorId="768DC838" wp14:editId="2E87B746">
          <wp:simplePos x="0" y="0"/>
          <wp:positionH relativeFrom="column">
            <wp:posOffset>-559011</wp:posOffset>
          </wp:positionH>
          <wp:positionV relativeFrom="paragraph">
            <wp:posOffset>-169333</wp:posOffset>
          </wp:positionV>
          <wp:extent cx="1380067" cy="497840"/>
          <wp:effectExtent l="0" t="0" r="0" b="0"/>
          <wp:wrapThrough wrapText="bothSides">
            <wp:wrapPolygon edited="0">
              <wp:start x="2982" y="0"/>
              <wp:lineTo x="994" y="2755"/>
              <wp:lineTo x="199" y="7163"/>
              <wp:lineTo x="199" y="17082"/>
              <wp:lineTo x="795" y="17633"/>
              <wp:lineTo x="5566" y="17633"/>
              <wp:lineTo x="5566" y="20388"/>
              <wp:lineTo x="9145" y="20939"/>
              <wp:lineTo x="16103" y="20939"/>
              <wp:lineTo x="16302" y="20388"/>
              <wp:lineTo x="18886" y="17633"/>
              <wp:lineTo x="21073" y="17633"/>
              <wp:lineTo x="21272" y="16531"/>
              <wp:lineTo x="20477" y="8816"/>
              <wp:lineTo x="20874" y="1102"/>
              <wp:lineTo x="18489" y="0"/>
              <wp:lineTo x="5566" y="0"/>
              <wp:lineTo x="2982" y="0"/>
            </wp:wrapPolygon>
          </wp:wrapThrough>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80067" cy="497840"/>
                  </a:xfrm>
                  <a:prstGeom prst="rect">
                    <a:avLst/>
                  </a:prstGeom>
                  <a:ln/>
                </pic:spPr>
              </pic:pic>
            </a:graphicData>
          </a:graphic>
          <wp14:sizeRelH relativeFrom="page">
            <wp14:pctWidth>0</wp14:pctWidth>
          </wp14:sizeRelH>
          <wp14:sizeRelV relativeFrom="page">
            <wp14:pctHeight>0</wp14:pctHeight>
          </wp14:sizeRelV>
        </wp:anchor>
      </w:drawing>
    </w:r>
    <w:r>
      <w:rPr>
        <w:sz w:val="32"/>
        <w:szCs w:val="32"/>
      </w:rPr>
      <w:t xml:space="preserve"> </w:t>
    </w:r>
    <w:r w:rsidR="00FB2FAB">
      <w:rPr>
        <w:sz w:val="32"/>
        <w:szCs w:val="32"/>
      </w:rPr>
      <w:t>VB-MAPP Fidelity Checklist</w:t>
    </w:r>
  </w:p>
  <w:p w14:paraId="65C0ABAA" w14:textId="77777777" w:rsidR="00DE546A" w:rsidRDefault="00DE546A">
    <w:pPr>
      <w:jc w:val="center"/>
      <w:rPr>
        <w:sz w:val="32"/>
        <w:szCs w:val="32"/>
      </w:rPr>
    </w:pPr>
  </w:p>
  <w:p w14:paraId="2B8689FA" w14:textId="77777777" w:rsidR="00DE546A" w:rsidRDefault="00FB2FAB">
    <w:pPr>
      <w:rPr>
        <w:sz w:val="28"/>
        <w:szCs w:val="28"/>
      </w:rPr>
    </w:pPr>
    <w:r>
      <w:rPr>
        <w:sz w:val="28"/>
        <w:szCs w:val="28"/>
      </w:rPr>
      <w:t xml:space="preserve">Date: _______________ Instructor: ________________ </w:t>
    </w:r>
    <w:proofErr w:type="gramStart"/>
    <w:r>
      <w:rPr>
        <w:sz w:val="28"/>
        <w:szCs w:val="28"/>
      </w:rPr>
      <w:t>Student:_</w:t>
    </w:r>
    <w:proofErr w:type="gramEnd"/>
    <w:r>
      <w:rPr>
        <w:sz w:val="28"/>
        <w:szCs w:val="28"/>
      </w:rPr>
      <w:t>_____________</w:t>
    </w:r>
  </w:p>
  <w:p w14:paraId="636800E7" w14:textId="77777777" w:rsidR="00DE546A" w:rsidRDefault="00DE54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30"/>
    <w:multiLevelType w:val="hybridMultilevel"/>
    <w:tmpl w:val="BD002C1A"/>
    <w:lvl w:ilvl="0" w:tplc="B7467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4AAD"/>
    <w:multiLevelType w:val="hybridMultilevel"/>
    <w:tmpl w:val="2892CF66"/>
    <w:lvl w:ilvl="0" w:tplc="B7467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D53DE"/>
    <w:multiLevelType w:val="hybridMultilevel"/>
    <w:tmpl w:val="55B6A700"/>
    <w:lvl w:ilvl="0" w:tplc="B7467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886952">
    <w:abstractNumId w:val="0"/>
  </w:num>
  <w:num w:numId="2" w16cid:durableId="995688448">
    <w:abstractNumId w:val="1"/>
  </w:num>
  <w:num w:numId="3" w16cid:durableId="1871525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6A"/>
    <w:rsid w:val="00193B16"/>
    <w:rsid w:val="001A059E"/>
    <w:rsid w:val="001C3941"/>
    <w:rsid w:val="001D6C11"/>
    <w:rsid w:val="002C5D1D"/>
    <w:rsid w:val="00336CBC"/>
    <w:rsid w:val="003527C2"/>
    <w:rsid w:val="00393C11"/>
    <w:rsid w:val="00420151"/>
    <w:rsid w:val="004E18FE"/>
    <w:rsid w:val="005C07C4"/>
    <w:rsid w:val="00631C4B"/>
    <w:rsid w:val="0066433C"/>
    <w:rsid w:val="007471D2"/>
    <w:rsid w:val="00772A90"/>
    <w:rsid w:val="007D125D"/>
    <w:rsid w:val="0081049E"/>
    <w:rsid w:val="00B23FDE"/>
    <w:rsid w:val="00C1398D"/>
    <w:rsid w:val="00C73F89"/>
    <w:rsid w:val="00C804A6"/>
    <w:rsid w:val="00C91553"/>
    <w:rsid w:val="00DB72FA"/>
    <w:rsid w:val="00DE546A"/>
    <w:rsid w:val="00F24C54"/>
    <w:rsid w:val="00F52B39"/>
    <w:rsid w:val="00F85B6C"/>
    <w:rsid w:val="00F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F375"/>
  <w15:docId w15:val="{3484BE0C-FF08-E945-8B12-68AB7341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1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08B"/>
    <w:pPr>
      <w:tabs>
        <w:tab w:val="center" w:pos="4680"/>
        <w:tab w:val="right" w:pos="9360"/>
      </w:tabs>
    </w:pPr>
  </w:style>
  <w:style w:type="character" w:customStyle="1" w:styleId="HeaderChar">
    <w:name w:val="Header Char"/>
    <w:basedOn w:val="DefaultParagraphFont"/>
    <w:link w:val="Header"/>
    <w:uiPriority w:val="99"/>
    <w:rsid w:val="0013108B"/>
  </w:style>
  <w:style w:type="paragraph" w:styleId="Footer">
    <w:name w:val="footer"/>
    <w:basedOn w:val="Normal"/>
    <w:link w:val="FooterChar"/>
    <w:uiPriority w:val="99"/>
    <w:unhideWhenUsed/>
    <w:rsid w:val="0013108B"/>
    <w:pPr>
      <w:tabs>
        <w:tab w:val="center" w:pos="4680"/>
        <w:tab w:val="right" w:pos="9360"/>
      </w:tabs>
    </w:pPr>
  </w:style>
  <w:style w:type="character" w:customStyle="1" w:styleId="FooterChar">
    <w:name w:val="Footer Char"/>
    <w:basedOn w:val="DefaultParagraphFont"/>
    <w:link w:val="Footer"/>
    <w:uiPriority w:val="99"/>
    <w:rsid w:val="001310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52B39"/>
    <w:pPr>
      <w:ind w:left="720"/>
      <w:contextualSpacing/>
    </w:pPr>
  </w:style>
  <w:style w:type="paragraph" w:styleId="NormalWeb">
    <w:name w:val="Normal (Web)"/>
    <w:basedOn w:val="Normal"/>
    <w:uiPriority w:val="99"/>
    <w:unhideWhenUsed/>
    <w:rsid w:val="00C73F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9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fhqCX0IcLedoAkcxgTjIKhmfQ==">AMUW2mXUV1QCcBJx0L3iAbFGcnR7DsaXivWR9N/yFovKBbWacxP+YKxGsnV3UhMybw5REkXoX9tQJ3QIbMhq1XPKeajn2lQNxmPUTiExeXeEEt+WXnyD5no=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Vest</dc:creator>
  <cp:lastModifiedBy>Jennifer  Vest</cp:lastModifiedBy>
  <cp:revision>10</cp:revision>
  <dcterms:created xsi:type="dcterms:W3CDTF">2022-07-19T20:29:00Z</dcterms:created>
  <dcterms:modified xsi:type="dcterms:W3CDTF">2022-09-06T18:26:00Z</dcterms:modified>
</cp:coreProperties>
</file>