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4BCE" w14:textId="10C2AEA2" w:rsidR="00F200DC" w:rsidRPr="008A10C0" w:rsidRDefault="00F200DC" w:rsidP="00F200DC">
      <w:pPr>
        <w:rPr>
          <w:rFonts w:ascii="Cambria" w:hAnsi="Cambria" w:cstheme="minorHAnsi"/>
          <w:b/>
          <w:noProof/>
        </w:rPr>
      </w:pPr>
      <w:r w:rsidRPr="008A10C0">
        <w:rPr>
          <w:rFonts w:ascii="Cambria" w:eastAsia="Calibri" w:hAnsi="Cambria" w:cstheme="minorHAnsi"/>
          <w:b/>
          <w:noProof/>
        </w:rPr>
        <mc:AlternateContent>
          <mc:Choice Requires="wps">
            <w:drawing>
              <wp:anchor distT="0" distB="0" distL="114300" distR="114300" simplePos="0" relativeHeight="251660288" behindDoc="0" locked="0" layoutInCell="1" allowOverlap="1" wp14:anchorId="553CC9E3" wp14:editId="7366290B">
                <wp:simplePos x="0" y="0"/>
                <wp:positionH relativeFrom="column">
                  <wp:posOffset>-114300</wp:posOffset>
                </wp:positionH>
                <wp:positionV relativeFrom="paragraph">
                  <wp:posOffset>95693</wp:posOffset>
                </wp:positionV>
                <wp:extent cx="5943600" cy="2540"/>
                <wp:effectExtent l="0" t="25400" r="0" b="4826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A4BF" id="Straight Connector 53"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5pt" to="459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" strokeweight="3pt"/>
            </w:pict>
          </mc:Fallback>
        </mc:AlternateContent>
      </w:r>
    </w:p>
    <w:p w14:paraId="4C0EA9DD" w14:textId="77777777" w:rsidR="00D21431" w:rsidRDefault="00D21431" w:rsidP="00F200DC">
      <w:pPr>
        <w:jc w:val="center"/>
        <w:rPr>
          <w:rFonts w:ascii="Cambria" w:eastAsia="Calibri" w:hAnsi="Cambria" w:cstheme="minorHAnsi"/>
          <w:b/>
          <w:sz w:val="40"/>
          <w:szCs w:val="40"/>
        </w:rPr>
      </w:pPr>
      <w:r>
        <w:rPr>
          <w:rFonts w:ascii="Cambria" w:eastAsia="Calibri" w:hAnsi="Cambria" w:cstheme="minorHAnsi"/>
          <w:b/>
          <w:sz w:val="40"/>
          <w:szCs w:val="40"/>
        </w:rPr>
        <w:t xml:space="preserve">Equity in Evaluation:  </w:t>
      </w:r>
    </w:p>
    <w:p w14:paraId="7442BEE6" w14:textId="1E3AAD14" w:rsidR="00F200DC" w:rsidRPr="008A10C0" w:rsidRDefault="00D21431" w:rsidP="00F200DC">
      <w:pPr>
        <w:jc w:val="center"/>
        <w:rPr>
          <w:rFonts w:ascii="Cambria" w:eastAsia="Calibri" w:hAnsi="Cambria" w:cstheme="minorHAnsi"/>
          <w:b/>
          <w:sz w:val="40"/>
          <w:szCs w:val="40"/>
        </w:rPr>
      </w:pPr>
      <w:r>
        <w:rPr>
          <w:rFonts w:ascii="Cambria" w:eastAsia="Calibri" w:hAnsi="Cambria" w:cstheme="minorHAnsi"/>
          <w:b/>
          <w:sz w:val="40"/>
          <w:szCs w:val="40"/>
        </w:rPr>
        <w:t>File Review Questions 2 and 3</w:t>
      </w:r>
    </w:p>
    <w:p w14:paraId="52197765" w14:textId="527D313E" w:rsidR="00F200DC" w:rsidRPr="008A10C0" w:rsidRDefault="00F200DC" w:rsidP="00F200DC">
      <w:pPr>
        <w:jc w:val="center"/>
        <w:rPr>
          <w:rFonts w:ascii="Cambria" w:eastAsia="Calibri" w:hAnsi="Cambria" w:cstheme="minorHAnsi"/>
          <w:b/>
        </w:rPr>
      </w:pPr>
      <w:r w:rsidRPr="008A10C0">
        <w:rPr>
          <w:rFonts w:ascii="Cambria" w:eastAsia="Calibri" w:hAnsi="Cambria" w:cstheme="minorHAnsi"/>
          <w:b/>
          <w:noProof/>
        </w:rPr>
        <mc:AlternateContent>
          <mc:Choice Requires="wps">
            <w:drawing>
              <wp:anchor distT="0" distB="0" distL="114300" distR="114300" simplePos="0" relativeHeight="251659264" behindDoc="0" locked="0" layoutInCell="1" allowOverlap="1" wp14:anchorId="33070675" wp14:editId="5A7D632E">
                <wp:simplePos x="0" y="0"/>
                <wp:positionH relativeFrom="column">
                  <wp:posOffset>-114300</wp:posOffset>
                </wp:positionH>
                <wp:positionV relativeFrom="paragraph">
                  <wp:posOffset>65066</wp:posOffset>
                </wp:positionV>
                <wp:extent cx="5943600" cy="2540"/>
                <wp:effectExtent l="0" t="25400" r="0" b="4826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2540"/>
                        </a:xfrm>
                        <a:prstGeom prst="line">
                          <a:avLst/>
                        </a:prstGeom>
                        <a:noFill/>
                        <a:ln w="381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953B" id="Straight Connector 46" o:spid="_x0000_s1026" alt="&quot;&quot;"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1pt" to="459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" strokeweight="3pt"/>
            </w:pict>
          </mc:Fallback>
        </mc:AlternateContent>
      </w:r>
    </w:p>
    <w:p w14:paraId="36062FF7" w14:textId="51FFC249" w:rsidR="00F200DC" w:rsidRDefault="00F200DC" w:rsidP="00F200DC">
      <w:pPr>
        <w:rPr>
          <w:rFonts w:ascii="Cambria" w:eastAsia="Calibri" w:hAnsi="Cambria" w:cstheme="minorHAnsi"/>
          <w:b/>
          <w:i/>
        </w:rPr>
      </w:pPr>
    </w:p>
    <w:p w14:paraId="5BCD4B7A" w14:textId="6DD562CE" w:rsidR="008A10C0" w:rsidRDefault="008A10C0" w:rsidP="00F200DC">
      <w:pPr>
        <w:rPr>
          <w:rFonts w:ascii="Cambria" w:eastAsia="Calibri" w:hAnsi="Cambria" w:cstheme="minorHAnsi"/>
          <w:b/>
          <w:i/>
        </w:rPr>
      </w:pPr>
    </w:p>
    <w:p w14:paraId="2E3C70B9" w14:textId="5FBD34A9" w:rsidR="008A10C0" w:rsidRDefault="008A10C0" w:rsidP="00F200DC">
      <w:pPr>
        <w:rPr>
          <w:rFonts w:ascii="Cambria" w:eastAsia="Calibri" w:hAnsi="Cambria" w:cstheme="minorHAnsi"/>
          <w:b/>
          <w:i/>
        </w:rPr>
      </w:pPr>
    </w:p>
    <w:p w14:paraId="789A0DDC" w14:textId="4912A24A" w:rsidR="008A10C0" w:rsidRDefault="008A10C0" w:rsidP="00F200DC">
      <w:pPr>
        <w:rPr>
          <w:rFonts w:ascii="Cambria" w:eastAsia="Calibri" w:hAnsi="Cambria" w:cstheme="minorHAnsi"/>
          <w:b/>
          <w:i/>
        </w:rPr>
      </w:pPr>
    </w:p>
    <w:p w14:paraId="6AE8C3FA" w14:textId="7EB33884" w:rsidR="008A10C0" w:rsidRDefault="008A10C0" w:rsidP="00F200DC">
      <w:pPr>
        <w:rPr>
          <w:rFonts w:ascii="Cambria" w:eastAsia="Calibri" w:hAnsi="Cambria" w:cstheme="minorHAnsi"/>
          <w:b/>
          <w:i/>
        </w:rPr>
      </w:pPr>
    </w:p>
    <w:p w14:paraId="3C8C12F8" w14:textId="64C0870A" w:rsidR="008A10C0" w:rsidRDefault="008A10C0" w:rsidP="00F200DC">
      <w:pPr>
        <w:rPr>
          <w:rFonts w:ascii="Cambria" w:eastAsia="Calibri" w:hAnsi="Cambria" w:cstheme="minorHAnsi"/>
          <w:b/>
          <w:i/>
        </w:rPr>
      </w:pPr>
    </w:p>
    <w:p w14:paraId="49096765" w14:textId="08D06297" w:rsidR="008A10C0" w:rsidRDefault="008A10C0" w:rsidP="00F200DC">
      <w:pPr>
        <w:rPr>
          <w:rFonts w:ascii="Cambria" w:eastAsia="Calibri" w:hAnsi="Cambria" w:cstheme="minorHAnsi"/>
          <w:b/>
          <w:i/>
        </w:rPr>
      </w:pPr>
    </w:p>
    <w:p w14:paraId="3D62E69D" w14:textId="1635F1E0" w:rsidR="008A10C0" w:rsidRDefault="008A10C0" w:rsidP="00F200DC">
      <w:pPr>
        <w:rPr>
          <w:rFonts w:ascii="Cambria" w:eastAsia="Calibri" w:hAnsi="Cambria" w:cstheme="minorHAnsi"/>
          <w:b/>
          <w:i/>
        </w:rPr>
      </w:pPr>
    </w:p>
    <w:p w14:paraId="2E8CD3E0" w14:textId="6BA9065F" w:rsidR="008A10C0" w:rsidRDefault="008A10C0" w:rsidP="00F200DC">
      <w:pPr>
        <w:rPr>
          <w:rFonts w:ascii="Cambria" w:eastAsia="Calibri" w:hAnsi="Cambria" w:cstheme="minorHAnsi"/>
          <w:b/>
          <w:i/>
        </w:rPr>
      </w:pPr>
    </w:p>
    <w:p w14:paraId="4E666E16" w14:textId="77777777" w:rsidR="008A10C0" w:rsidRPr="008A10C0" w:rsidRDefault="008A10C0" w:rsidP="00F200DC">
      <w:pPr>
        <w:rPr>
          <w:rFonts w:ascii="Cambria" w:eastAsia="Calibri" w:hAnsi="Cambria" w:cstheme="minorHAnsi"/>
          <w:b/>
          <w:i/>
        </w:rPr>
      </w:pPr>
    </w:p>
    <w:p w14:paraId="266ADB24" w14:textId="1C5F5818" w:rsidR="00F200DC" w:rsidRPr="008A10C0" w:rsidRDefault="00F200DC" w:rsidP="00F200DC">
      <w:pPr>
        <w:jc w:val="center"/>
        <w:rPr>
          <w:rFonts w:ascii="Cambria" w:eastAsia="Calibri" w:hAnsi="Cambria" w:cstheme="minorHAnsi"/>
          <w:b/>
          <w:i/>
          <w:sz w:val="40"/>
          <w:szCs w:val="40"/>
        </w:rPr>
      </w:pPr>
      <w:r w:rsidRPr="008A10C0">
        <w:rPr>
          <w:rFonts w:ascii="Cambria" w:eastAsia="Calibri" w:hAnsi="Cambria" w:cstheme="minorHAnsi"/>
          <w:b/>
          <w:i/>
          <w:sz w:val="40"/>
          <w:szCs w:val="40"/>
        </w:rPr>
        <w:t>Handout</w:t>
      </w:r>
    </w:p>
    <w:p w14:paraId="6C65C7B2" w14:textId="77777777" w:rsidR="00F200DC" w:rsidRPr="008A10C0" w:rsidRDefault="00F200DC" w:rsidP="00F200DC">
      <w:pPr>
        <w:jc w:val="center"/>
        <w:rPr>
          <w:rFonts w:ascii="Cambria" w:eastAsia="Calibri" w:hAnsi="Cambria" w:cstheme="minorHAnsi"/>
          <w:b/>
        </w:rPr>
      </w:pPr>
    </w:p>
    <w:p w14:paraId="17AAECC8" w14:textId="77777777" w:rsidR="00F200DC" w:rsidRPr="008A10C0" w:rsidRDefault="00F200DC" w:rsidP="00F200DC">
      <w:pPr>
        <w:jc w:val="center"/>
        <w:rPr>
          <w:rFonts w:ascii="Cambria" w:eastAsia="Calibri" w:hAnsi="Cambria" w:cstheme="minorHAnsi"/>
          <w:b/>
        </w:rPr>
      </w:pPr>
    </w:p>
    <w:p w14:paraId="134A648A" w14:textId="77777777" w:rsidR="00F200DC" w:rsidRPr="008A10C0" w:rsidRDefault="00F200DC" w:rsidP="00F200DC">
      <w:pPr>
        <w:jc w:val="center"/>
        <w:rPr>
          <w:rFonts w:ascii="Cambria" w:eastAsia="Calibri" w:hAnsi="Cambria" w:cstheme="minorHAnsi"/>
          <w:b/>
        </w:rPr>
      </w:pPr>
    </w:p>
    <w:p w14:paraId="27FFB83C" w14:textId="4B91F2BB" w:rsidR="00F200DC" w:rsidRPr="008A10C0" w:rsidRDefault="00F200DC" w:rsidP="00F200DC">
      <w:pPr>
        <w:rPr>
          <w:rFonts w:ascii="Cambria" w:eastAsia="Calibri" w:hAnsi="Cambria" w:cstheme="minorHAnsi"/>
          <w:b/>
        </w:rPr>
      </w:pPr>
    </w:p>
    <w:p w14:paraId="3919CD98" w14:textId="2DF11C02" w:rsidR="00F200DC" w:rsidRPr="008A10C0" w:rsidRDefault="00F200DC" w:rsidP="00F200DC">
      <w:pPr>
        <w:rPr>
          <w:rFonts w:ascii="Cambria" w:eastAsia="Calibri" w:hAnsi="Cambria" w:cstheme="minorHAnsi"/>
          <w:b/>
        </w:rPr>
      </w:pPr>
    </w:p>
    <w:p w14:paraId="15CC3FC3" w14:textId="57B6D6CF" w:rsidR="00F200DC" w:rsidRPr="008A10C0" w:rsidRDefault="00F200DC" w:rsidP="00F200DC">
      <w:pPr>
        <w:rPr>
          <w:rFonts w:ascii="Cambria" w:eastAsia="Calibri" w:hAnsi="Cambria" w:cstheme="minorHAnsi"/>
          <w:b/>
        </w:rPr>
      </w:pPr>
    </w:p>
    <w:p w14:paraId="1C5B9B2B" w14:textId="4A9A1A55" w:rsidR="00F200DC" w:rsidRDefault="00F200DC" w:rsidP="00F200DC">
      <w:pPr>
        <w:rPr>
          <w:rFonts w:ascii="Cambria" w:eastAsia="Calibri" w:hAnsi="Cambria" w:cstheme="minorHAnsi"/>
          <w:b/>
        </w:rPr>
      </w:pPr>
    </w:p>
    <w:p w14:paraId="14F10EA4" w14:textId="7ECB624C" w:rsidR="008A10C0" w:rsidRDefault="008A10C0" w:rsidP="00F200DC">
      <w:pPr>
        <w:rPr>
          <w:rFonts w:ascii="Cambria" w:eastAsia="Calibri" w:hAnsi="Cambria" w:cstheme="minorHAnsi"/>
          <w:b/>
        </w:rPr>
      </w:pPr>
    </w:p>
    <w:p w14:paraId="5B86EAB4" w14:textId="61E6E736" w:rsidR="008A10C0" w:rsidRDefault="008A10C0" w:rsidP="00F200DC">
      <w:pPr>
        <w:rPr>
          <w:rFonts w:ascii="Cambria" w:eastAsia="Calibri" w:hAnsi="Cambria" w:cstheme="minorHAnsi"/>
          <w:b/>
        </w:rPr>
      </w:pPr>
    </w:p>
    <w:p w14:paraId="7240EB11" w14:textId="3F86CCF5" w:rsidR="008A10C0" w:rsidRDefault="008A10C0" w:rsidP="00F200DC">
      <w:pPr>
        <w:rPr>
          <w:rFonts w:ascii="Cambria" w:eastAsia="Calibri" w:hAnsi="Cambria" w:cstheme="minorHAnsi"/>
          <w:b/>
        </w:rPr>
      </w:pPr>
    </w:p>
    <w:p w14:paraId="3171AE7E" w14:textId="713FE94B" w:rsidR="008A10C0" w:rsidRDefault="008A10C0" w:rsidP="00F200DC">
      <w:pPr>
        <w:rPr>
          <w:rFonts w:ascii="Cambria" w:eastAsia="Calibri" w:hAnsi="Cambria" w:cstheme="minorHAnsi"/>
          <w:b/>
        </w:rPr>
      </w:pPr>
    </w:p>
    <w:p w14:paraId="3BE5D410" w14:textId="77777777" w:rsidR="008A10C0" w:rsidRPr="008A10C0" w:rsidRDefault="008A10C0" w:rsidP="00F200DC">
      <w:pPr>
        <w:rPr>
          <w:rFonts w:ascii="Cambria" w:eastAsia="Calibri" w:hAnsi="Cambria" w:cstheme="minorHAnsi"/>
          <w:b/>
        </w:rPr>
      </w:pPr>
    </w:p>
    <w:p w14:paraId="5448E475" w14:textId="0B7147BB" w:rsidR="00F200DC" w:rsidRPr="008A10C0" w:rsidRDefault="00F200DC" w:rsidP="00F200DC">
      <w:pPr>
        <w:rPr>
          <w:rFonts w:ascii="Cambria" w:eastAsia="Calibri" w:hAnsi="Cambria" w:cstheme="minorHAnsi"/>
          <w:b/>
        </w:rPr>
      </w:pPr>
    </w:p>
    <w:p w14:paraId="13D98D1B" w14:textId="1C06F2D1" w:rsidR="00F200DC" w:rsidRPr="008A10C0" w:rsidRDefault="00F200DC" w:rsidP="00F200DC">
      <w:pPr>
        <w:rPr>
          <w:rFonts w:ascii="Cambria" w:eastAsia="Calibri" w:hAnsi="Cambria" w:cstheme="minorHAnsi"/>
          <w:b/>
        </w:rPr>
      </w:pPr>
    </w:p>
    <w:p w14:paraId="519E03A2" w14:textId="35FE312C" w:rsidR="00F200DC" w:rsidRPr="008A10C0" w:rsidRDefault="00F200DC" w:rsidP="00F200DC">
      <w:pPr>
        <w:rPr>
          <w:rFonts w:ascii="Cambria" w:eastAsia="Calibri" w:hAnsi="Cambria" w:cstheme="minorHAnsi"/>
          <w:b/>
        </w:rPr>
      </w:pPr>
    </w:p>
    <w:p w14:paraId="73B13E39" w14:textId="77777777" w:rsidR="00F200DC" w:rsidRPr="008A10C0" w:rsidRDefault="00F200DC" w:rsidP="00F200DC">
      <w:pPr>
        <w:rPr>
          <w:rFonts w:ascii="Cambria" w:eastAsia="Calibri" w:hAnsi="Cambria" w:cstheme="minorHAnsi"/>
          <w:b/>
        </w:rPr>
      </w:pPr>
    </w:p>
    <w:p w14:paraId="184B8ED2" w14:textId="77777777" w:rsidR="00F200DC" w:rsidRPr="008A10C0" w:rsidRDefault="00F200DC" w:rsidP="00F200DC">
      <w:pPr>
        <w:rPr>
          <w:rFonts w:ascii="Cambria" w:eastAsia="Calibri" w:hAnsi="Cambria" w:cstheme="minorHAnsi"/>
          <w:b/>
        </w:rPr>
      </w:pPr>
    </w:p>
    <w:p w14:paraId="2A92768F" w14:textId="77777777" w:rsidR="00CD7837" w:rsidRDefault="00F200DC" w:rsidP="00CD7837">
      <w:pPr>
        <w:rPr>
          <w:rFonts w:ascii="Cambria" w:eastAsia="Calibri" w:hAnsi="Cambria" w:cstheme="minorHAnsi"/>
          <w:b/>
        </w:rPr>
      </w:pPr>
      <w:r w:rsidRPr="008A10C0">
        <w:rPr>
          <w:rFonts w:ascii="Cambria" w:eastAsia="Calibri" w:hAnsi="Cambria" w:cstheme="minorHAnsi"/>
          <w:noProof/>
        </w:rPr>
        <w:drawing>
          <wp:inline distT="0" distB="0" distL="0" distR="0" wp14:anchorId="13B97DF3" wp14:editId="4E218ACC">
            <wp:extent cx="2971800" cy="1371600"/>
            <wp:effectExtent l="0" t="0" r="0" b="0"/>
            <wp:docPr id="45" name="Picture 45" descr="Also sponsored by the Kansas Technical Assistance System Network or TASN.  TASN is the technical assistance arm of the Kansa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lso sponsored by the Kansas Technical Assistance System Network or TASN.  TASN is the technical assistance arm of the Kansas Department of Edu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371600"/>
                    </a:xfrm>
                    <a:prstGeom prst="rect">
                      <a:avLst/>
                    </a:prstGeom>
                    <a:noFill/>
                    <a:ln>
                      <a:noFill/>
                    </a:ln>
                  </pic:spPr>
                </pic:pic>
              </a:graphicData>
            </a:graphic>
          </wp:inline>
        </w:drawing>
      </w:r>
    </w:p>
    <w:p w14:paraId="57109EBE" w14:textId="40A98C95" w:rsidR="00F200DC" w:rsidRPr="008A10C0" w:rsidRDefault="00CD7837" w:rsidP="00CD7837">
      <w:pPr>
        <w:rPr>
          <w:rFonts w:ascii="Cambria" w:eastAsia="Calibri" w:hAnsi="Cambria" w:cstheme="minorHAnsi"/>
          <w:b/>
        </w:rPr>
      </w:pPr>
      <w:r>
        <w:rPr>
          <w:rFonts w:ascii="Cambria" w:eastAsia="Calibri" w:hAnsi="Cambria" w:cstheme="minorHAnsi"/>
          <w:b/>
        </w:rPr>
        <w:t>April</w:t>
      </w:r>
      <w:r w:rsidR="00F200DC" w:rsidRPr="008A10C0">
        <w:rPr>
          <w:rFonts w:ascii="Cambria" w:eastAsia="Calibri" w:hAnsi="Cambria" w:cstheme="minorHAnsi"/>
          <w:b/>
        </w:rPr>
        <w:t>, 202</w:t>
      </w:r>
      <w:r>
        <w:rPr>
          <w:rFonts w:ascii="Cambria" w:eastAsia="Calibri" w:hAnsi="Cambria" w:cstheme="minorHAnsi"/>
          <w:b/>
        </w:rPr>
        <w:t>2</w:t>
      </w:r>
    </w:p>
    <w:p w14:paraId="33A6C8F9" w14:textId="1C783B91" w:rsidR="00F200DC" w:rsidRPr="008A10C0" w:rsidRDefault="00F200DC" w:rsidP="00F200DC">
      <w:pPr>
        <w:rPr>
          <w:rFonts w:ascii="Cambria" w:eastAsia="Calibri" w:hAnsi="Cambria" w:cstheme="minorHAnsi"/>
          <w:b/>
        </w:rPr>
      </w:pPr>
      <w:r w:rsidRPr="008A10C0">
        <w:rPr>
          <w:rFonts w:ascii="Cambria" w:eastAsia="Calibri" w:hAnsi="Cambria" w:cstheme="minorHAnsi"/>
          <w:b/>
        </w:rPr>
        <w:t xml:space="preserve">Created by: Technical Assistance Team and other TASN projects and providers </w:t>
      </w:r>
    </w:p>
    <w:p w14:paraId="214BFC2B" w14:textId="2078CC27" w:rsidR="00AC6318" w:rsidRPr="008A10C0" w:rsidRDefault="00AC6318">
      <w:pPr>
        <w:rPr>
          <w:rFonts w:ascii="Cambria" w:eastAsia="Times New Roman" w:hAnsi="Cambria" w:cstheme="minorHAnsi"/>
          <w:b/>
          <w:bCs/>
        </w:rPr>
      </w:pPr>
    </w:p>
    <w:p w14:paraId="5F6AA76B" w14:textId="6AC8AA82" w:rsidR="00B50F75" w:rsidRDefault="00F200DC" w:rsidP="00CD7837">
      <w:pPr>
        <w:jc w:val="center"/>
        <w:rPr>
          <w:rFonts w:ascii="Cambria" w:eastAsia="Times New Roman" w:hAnsi="Cambria" w:cstheme="minorHAnsi"/>
          <w:b/>
          <w:bCs/>
        </w:rPr>
      </w:pPr>
      <w:r w:rsidRPr="008A10C0">
        <w:rPr>
          <w:rFonts w:ascii="Cambria" w:eastAsia="Times New Roman" w:hAnsi="Cambria" w:cstheme="minorHAnsi"/>
          <w:b/>
          <w:bCs/>
        </w:rPr>
        <w:br w:type="page"/>
      </w:r>
    </w:p>
    <w:p w14:paraId="37963F47" w14:textId="1033C614" w:rsidR="008A54D8" w:rsidRPr="00CD7837" w:rsidRDefault="00CD7837" w:rsidP="00CD7837">
      <w:pPr>
        <w:rPr>
          <w:rFonts w:ascii="Cambria" w:eastAsia="Times New Roman" w:hAnsi="Cambria" w:cstheme="minorHAnsi"/>
          <w:b/>
          <w:bCs/>
        </w:rPr>
      </w:pPr>
      <w:r w:rsidRPr="00CD7837">
        <w:rPr>
          <w:rFonts w:ascii="Cambria" w:eastAsia="Times New Roman" w:hAnsi="Cambria" w:cstheme="minorHAnsi"/>
          <w:b/>
          <w:bCs/>
        </w:rPr>
        <w:lastRenderedPageBreak/>
        <w:t>QUALITY INDICATORS FOR NONDISCRIMINATORY ASSESSMENT</w:t>
      </w:r>
    </w:p>
    <w:p w14:paraId="7EFE57D1" w14:textId="77777777" w:rsidR="008A54D8" w:rsidRDefault="008A54D8">
      <w:pPr>
        <w:rPr>
          <w:rFonts w:ascii="Cambria" w:eastAsia="Times New Roman" w:hAnsi="Cambria" w:cstheme="minorHAnsi"/>
          <w:b/>
          <w:bCs/>
        </w:rPr>
      </w:pPr>
    </w:p>
    <w:p w14:paraId="6F9651B3"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Assess initially with authentic and alternative procedures.</w:t>
      </w:r>
    </w:p>
    <w:p w14:paraId="74C92E8B"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Establish an appropriate basis for comparison.</w:t>
      </w:r>
    </w:p>
    <w:p w14:paraId="650B87B3"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Assess and evaluate the learning ecology/environment.</w:t>
      </w:r>
    </w:p>
    <w:p w14:paraId="0661CBF3"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Assess and evaluate the student’s opportunity for learning.</w:t>
      </w:r>
    </w:p>
    <w:p w14:paraId="70D9EEA9"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 xml:space="preserve">Ensure the test norms are adequate.  </w:t>
      </w:r>
    </w:p>
    <w:p w14:paraId="73A5AAE0" w14:textId="77777777" w:rsidR="008A54D8" w:rsidRPr="008A54D8" w:rsidRDefault="008A54D8" w:rsidP="008A54D8">
      <w:pPr>
        <w:numPr>
          <w:ilvl w:val="1"/>
          <w:numId w:val="2"/>
        </w:numPr>
        <w:rPr>
          <w:rFonts w:ascii="Cambria" w:eastAsia="Times New Roman" w:hAnsi="Cambria" w:cstheme="minorHAnsi"/>
        </w:rPr>
      </w:pPr>
      <w:r w:rsidRPr="008A54D8">
        <w:rPr>
          <w:rFonts w:ascii="Cambria" w:eastAsia="Times New Roman" w:hAnsi="Cambria" w:cstheme="minorHAnsi"/>
        </w:rPr>
        <w:t>What is the test supposed to measure?</w:t>
      </w:r>
    </w:p>
    <w:p w14:paraId="3599395A" w14:textId="77777777" w:rsidR="008A54D8" w:rsidRPr="008A54D8" w:rsidRDefault="008A54D8" w:rsidP="008A54D8">
      <w:pPr>
        <w:numPr>
          <w:ilvl w:val="1"/>
          <w:numId w:val="2"/>
        </w:numPr>
        <w:rPr>
          <w:rFonts w:ascii="Cambria" w:eastAsia="Times New Roman" w:hAnsi="Cambria" w:cstheme="minorHAnsi"/>
        </w:rPr>
      </w:pPr>
      <w:r w:rsidRPr="008A54D8">
        <w:rPr>
          <w:rFonts w:ascii="Cambria" w:eastAsia="Times New Roman" w:hAnsi="Cambria" w:cstheme="minorHAnsi"/>
        </w:rPr>
        <w:t xml:space="preserve">What does the professional literature have to say about how diverse students perform on the test? </w:t>
      </w:r>
    </w:p>
    <w:p w14:paraId="523A13C7" w14:textId="77777777"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Consider how linguistic and/or cultural factors impacted the validity of the test/procedure.</w:t>
      </w:r>
    </w:p>
    <w:p w14:paraId="19158A38" w14:textId="1EFEA02C" w:rsidR="008A54D8" w:rsidRPr="008A54D8" w:rsidRDefault="008A54D8" w:rsidP="008A54D8">
      <w:pPr>
        <w:numPr>
          <w:ilvl w:val="0"/>
          <w:numId w:val="2"/>
        </w:numPr>
        <w:rPr>
          <w:rFonts w:ascii="Cambria" w:eastAsia="Times New Roman" w:hAnsi="Cambria" w:cstheme="minorHAnsi"/>
        </w:rPr>
      </w:pPr>
      <w:r w:rsidRPr="008A54D8">
        <w:rPr>
          <w:rFonts w:ascii="Cambria" w:eastAsia="Times New Roman" w:hAnsi="Cambria" w:cstheme="minorHAnsi"/>
        </w:rPr>
        <w:t>Support conclusions through data convergence and multiple indicators.  Look for multiple data sources.</w:t>
      </w:r>
    </w:p>
    <w:p w14:paraId="619A2CC9" w14:textId="5CF77D21" w:rsidR="008A54D8" w:rsidRPr="008A54D8" w:rsidRDefault="008A54D8" w:rsidP="008A54D8">
      <w:pPr>
        <w:rPr>
          <w:rFonts w:ascii="Cambria" w:eastAsia="Times New Roman" w:hAnsi="Cambria" w:cstheme="minorHAnsi"/>
          <w:i/>
          <w:iCs/>
        </w:rPr>
      </w:pPr>
      <w:r w:rsidRPr="008A54D8">
        <w:rPr>
          <w:rFonts w:ascii="Cambria" w:eastAsia="Times New Roman" w:hAnsi="Cambria" w:cstheme="minorHAnsi"/>
          <w:i/>
          <w:iCs/>
        </w:rPr>
        <w:t>(</w:t>
      </w:r>
      <w:proofErr w:type="gramStart"/>
      <w:r w:rsidRPr="008A54D8">
        <w:rPr>
          <w:rFonts w:ascii="Cambria" w:eastAsia="Times New Roman" w:hAnsi="Cambria" w:cstheme="minorHAnsi"/>
          <w:i/>
          <w:iCs/>
        </w:rPr>
        <w:t>adapted</w:t>
      </w:r>
      <w:proofErr w:type="gramEnd"/>
      <w:r w:rsidRPr="008A54D8">
        <w:rPr>
          <w:rFonts w:ascii="Cambria" w:eastAsia="Times New Roman" w:hAnsi="Cambria" w:cstheme="minorHAnsi"/>
          <w:i/>
          <w:iCs/>
        </w:rPr>
        <w:t xml:space="preserve"> from S. Ortiz, 2014)</w:t>
      </w:r>
    </w:p>
    <w:p w14:paraId="289A84A6" w14:textId="77777777" w:rsidR="00CD7837" w:rsidRDefault="00CD7837">
      <w:pPr>
        <w:rPr>
          <w:rFonts w:ascii="Cambria" w:eastAsia="Times New Roman" w:hAnsi="Cambria" w:cstheme="minorHAnsi"/>
          <w:b/>
          <w:bCs/>
        </w:rPr>
      </w:pPr>
    </w:p>
    <w:p w14:paraId="7E518AD7" w14:textId="77777777" w:rsidR="00CD7837" w:rsidRDefault="00CD7837">
      <w:pPr>
        <w:rPr>
          <w:rFonts w:ascii="Cambria" w:eastAsia="Times New Roman" w:hAnsi="Cambria" w:cstheme="minorHAnsi"/>
          <w:b/>
          <w:bCs/>
        </w:rPr>
      </w:pPr>
    </w:p>
    <w:p w14:paraId="4842D641" w14:textId="7395A2BB" w:rsidR="008A54D8" w:rsidRPr="00CD7837" w:rsidRDefault="00CD7837" w:rsidP="00CD7837">
      <w:pPr>
        <w:rPr>
          <w:rFonts w:ascii="Cambria" w:eastAsia="Times New Roman" w:hAnsi="Cambria" w:cstheme="minorHAnsi"/>
          <w:b/>
          <w:bCs/>
        </w:rPr>
      </w:pPr>
      <w:r w:rsidRPr="00CD7837">
        <w:rPr>
          <w:rFonts w:ascii="Cambria" w:eastAsia="Times New Roman" w:hAnsi="Cambria" w:cstheme="minorHAnsi"/>
          <w:b/>
          <w:bCs/>
        </w:rPr>
        <w:t>QUALITY INDICATORS FOR ASSESSING ENGLISH LEARNERS</w:t>
      </w:r>
    </w:p>
    <w:p w14:paraId="09F3234D" w14:textId="77777777" w:rsidR="008A54D8" w:rsidRDefault="008A54D8">
      <w:pPr>
        <w:rPr>
          <w:rFonts w:ascii="Cambria" w:eastAsia="Times New Roman" w:hAnsi="Cambria" w:cstheme="minorHAnsi"/>
          <w:b/>
          <w:bCs/>
        </w:rPr>
      </w:pPr>
    </w:p>
    <w:p w14:paraId="3E7003A9"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Ensure parent involvement.</w:t>
      </w:r>
    </w:p>
    <w:p w14:paraId="6A49461B"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Conduct bilingual assessment.</w:t>
      </w:r>
    </w:p>
    <w:p w14:paraId="1813603D"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Assess and evaluate the student’s developmental language proficiency in both L1 and L2.  What are the family’s patterns of use of L1 and L2?</w:t>
      </w:r>
    </w:p>
    <w:p w14:paraId="3A5FC340"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Ensure the evaluator has knowledge related to second language acquisition.</w:t>
      </w:r>
    </w:p>
    <w:p w14:paraId="06D245D8"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Use alternative assessment procedures. Use both formal and informal assessment.</w:t>
      </w:r>
    </w:p>
    <w:p w14:paraId="4BCE2FE8" w14:textId="77777777" w:rsidR="008A54D8" w:rsidRP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Minimize the use of standardized tests.  Assessments should be conducted in both the student’s L1 and L2.</w:t>
      </w:r>
    </w:p>
    <w:p w14:paraId="4010B936" w14:textId="02BFE350" w:rsidR="008A54D8" w:rsidRDefault="008A54D8" w:rsidP="008A54D8">
      <w:pPr>
        <w:numPr>
          <w:ilvl w:val="0"/>
          <w:numId w:val="3"/>
        </w:numPr>
        <w:rPr>
          <w:rFonts w:ascii="Cambria" w:eastAsia="Times New Roman" w:hAnsi="Cambria" w:cstheme="minorHAnsi"/>
        </w:rPr>
      </w:pPr>
      <w:r w:rsidRPr="008A54D8">
        <w:rPr>
          <w:rFonts w:ascii="Cambria" w:eastAsia="Times New Roman" w:hAnsi="Cambria" w:cstheme="minorHAnsi"/>
        </w:rPr>
        <w:t xml:space="preserve">Correlate standardized assessment results with informal assessment and intervention outcomes, referral reason, and student’s acculturation and bilingual development, as well as academic achievement history. </w:t>
      </w:r>
    </w:p>
    <w:p w14:paraId="1680260B" w14:textId="0C349F10" w:rsidR="008A54D8" w:rsidRPr="008A54D8" w:rsidRDefault="008A54D8" w:rsidP="008A54D8">
      <w:pPr>
        <w:ind w:left="360"/>
        <w:rPr>
          <w:rFonts w:ascii="Cambria" w:eastAsia="Times New Roman" w:hAnsi="Cambria" w:cstheme="minorHAnsi"/>
          <w:i/>
          <w:iCs/>
        </w:rPr>
      </w:pPr>
      <w:r w:rsidRPr="008A54D8">
        <w:rPr>
          <w:rFonts w:ascii="Cambria" w:eastAsia="Times New Roman" w:hAnsi="Cambria" w:cstheme="minorHAnsi"/>
          <w:i/>
          <w:iCs/>
        </w:rPr>
        <w:t>(</w:t>
      </w:r>
      <w:proofErr w:type="gramStart"/>
      <w:r w:rsidRPr="008A54D8">
        <w:rPr>
          <w:rFonts w:ascii="Cambria" w:eastAsia="Times New Roman" w:hAnsi="Cambria" w:cstheme="minorHAnsi"/>
          <w:i/>
          <w:iCs/>
        </w:rPr>
        <w:t>adapted</w:t>
      </w:r>
      <w:proofErr w:type="gramEnd"/>
      <w:r w:rsidRPr="008A54D8">
        <w:rPr>
          <w:rFonts w:ascii="Cambria" w:eastAsia="Times New Roman" w:hAnsi="Cambria" w:cstheme="minorHAnsi"/>
          <w:i/>
          <w:iCs/>
        </w:rPr>
        <w:t xml:space="preserve"> from M. Villegas-Gutierrez, 2015)</w:t>
      </w:r>
    </w:p>
    <w:p w14:paraId="798E1141" w14:textId="77777777" w:rsidR="00CD7837" w:rsidRDefault="00CD7837" w:rsidP="00CD7837">
      <w:pPr>
        <w:rPr>
          <w:rFonts w:ascii="Cambria" w:eastAsia="Times New Roman" w:hAnsi="Cambria" w:cstheme="minorHAnsi"/>
          <w:b/>
          <w:bCs/>
        </w:rPr>
      </w:pPr>
    </w:p>
    <w:p w14:paraId="55755B96" w14:textId="77777777" w:rsidR="00CD7837" w:rsidRDefault="00CD7837" w:rsidP="00CD7837">
      <w:pPr>
        <w:rPr>
          <w:rFonts w:ascii="Cambria" w:eastAsia="Times New Roman" w:hAnsi="Cambria" w:cstheme="minorHAnsi"/>
          <w:b/>
          <w:bCs/>
        </w:rPr>
      </w:pPr>
    </w:p>
    <w:p w14:paraId="7033E144" w14:textId="6E9C4A32" w:rsidR="00AC6318" w:rsidRPr="00CD7837" w:rsidRDefault="00CD7837" w:rsidP="00CD7837">
      <w:pPr>
        <w:rPr>
          <w:rFonts w:ascii="Cambria" w:eastAsia="Times New Roman" w:hAnsi="Cambria" w:cstheme="minorHAnsi"/>
          <w:b/>
          <w:bCs/>
        </w:rPr>
      </w:pPr>
      <w:r w:rsidRPr="008A10C0">
        <w:rPr>
          <w:rFonts w:ascii="Cambria" w:eastAsia="Times New Roman" w:hAnsi="Cambria" w:cstheme="minorHAnsi"/>
          <w:b/>
          <w:bCs/>
        </w:rPr>
        <w:t>CONSIDERATIONS WHEN APPLYING</w:t>
      </w:r>
      <w:r w:rsidR="00061D1B">
        <w:rPr>
          <w:rFonts w:ascii="Cambria" w:eastAsia="Times New Roman" w:hAnsi="Cambria" w:cstheme="minorHAnsi"/>
          <w:b/>
          <w:bCs/>
        </w:rPr>
        <w:t xml:space="preserve"> E&amp;E</w:t>
      </w:r>
      <w:r w:rsidRPr="008A10C0">
        <w:rPr>
          <w:rFonts w:ascii="Cambria" w:eastAsia="Times New Roman" w:hAnsi="Cambria" w:cstheme="minorHAnsi"/>
          <w:b/>
          <w:bCs/>
        </w:rPr>
        <w:t xml:space="preserve"> DECISION RULES</w:t>
      </w:r>
      <w:r w:rsidR="00FF1DE5">
        <w:rPr>
          <w:rFonts w:ascii="Cambria" w:eastAsia="Times New Roman" w:hAnsi="Cambria" w:cstheme="minorHAnsi"/>
          <w:b/>
          <w:bCs/>
        </w:rPr>
        <w:t xml:space="preserve"> TO ELs</w:t>
      </w:r>
    </w:p>
    <w:p w14:paraId="1155D9FA" w14:textId="069A9356" w:rsidR="00AC6318" w:rsidRPr="008A10C0" w:rsidRDefault="00AC6318" w:rsidP="00AC6318">
      <w:p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The following are six important questions and/or exclusionary factors to consider when applying decision rules to a Cultural and Language Diverse (CLD) student’s performance: </w:t>
      </w:r>
    </w:p>
    <w:p w14:paraId="2598116E" w14:textId="77777777" w:rsidR="00AC6318" w:rsidRPr="008A10C0" w:rsidRDefault="00AC6318" w:rsidP="00AC6318">
      <w:pPr>
        <w:numPr>
          <w:ilvl w:val="0"/>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Can the CLD student’s learning and/or behavior problems be attributed to exclusionary factors such as: </w:t>
      </w:r>
    </w:p>
    <w:p w14:paraId="55E178FC"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Socio-cultural differences (e.g., world view, low level of acculturation)? </w:t>
      </w:r>
    </w:p>
    <w:p w14:paraId="45EB3516"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Economic disadvantage? </w:t>
      </w:r>
    </w:p>
    <w:p w14:paraId="6B606927"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Lack of instruction/inconsistent schooling? </w:t>
      </w:r>
    </w:p>
    <w:p w14:paraId="6CAEE70A"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Inappropriate instruction? </w:t>
      </w:r>
    </w:p>
    <w:p w14:paraId="0CE25DCD"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Ecological/environmental issues in the classroom? </w:t>
      </w:r>
    </w:p>
    <w:p w14:paraId="63353BFD" w14:textId="77777777" w:rsidR="00AC6318" w:rsidRPr="008A10C0" w:rsidRDefault="00AC6318" w:rsidP="00AC6318">
      <w:pPr>
        <w:numPr>
          <w:ilvl w:val="1"/>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Typical second language acquisition stages? </w:t>
      </w:r>
    </w:p>
    <w:p w14:paraId="60E0DEF8" w14:textId="1E4E3D28" w:rsidR="00EE44C3" w:rsidRPr="00EE44C3" w:rsidRDefault="00AC6318" w:rsidP="00EE44C3">
      <w:pPr>
        <w:numPr>
          <w:ilvl w:val="1"/>
          <w:numId w:val="1"/>
        </w:numPr>
        <w:spacing w:before="100" w:beforeAutospacing="1"/>
        <w:rPr>
          <w:rFonts w:ascii="Cambria" w:eastAsia="Times New Roman" w:hAnsi="Cambria" w:cstheme="minorHAnsi"/>
        </w:rPr>
      </w:pPr>
      <w:r w:rsidRPr="008A10C0">
        <w:rPr>
          <w:rFonts w:ascii="Cambria" w:eastAsia="Times New Roman" w:hAnsi="Cambria" w:cstheme="minorHAnsi"/>
        </w:rPr>
        <w:lastRenderedPageBreak/>
        <w:t>Lack of social/academic language exposure?</w:t>
      </w:r>
      <w:r w:rsidRPr="008A10C0">
        <w:rPr>
          <w:rFonts w:ascii="Cambria" w:eastAsia="Times New Roman" w:hAnsi="Cambria" w:cstheme="minorHAnsi"/>
        </w:rPr>
        <w:br/>
        <w:t xml:space="preserve">If yes to any of the above, then the student should not be considered for RTI Tier II/Tier III or special education but should receive educational supports by way of regular classroom accommodations, bilingual services, and/or other school district programs for which the student qualifies. </w:t>
      </w:r>
    </w:p>
    <w:p w14:paraId="40DA6864" w14:textId="046990B3" w:rsidR="00AC6318" w:rsidRPr="00CD7837" w:rsidRDefault="00AC6318" w:rsidP="00EE44C3">
      <w:pPr>
        <w:numPr>
          <w:ilvl w:val="0"/>
          <w:numId w:val="1"/>
        </w:numPr>
        <w:spacing w:before="120" w:after="100" w:afterAutospacing="1"/>
        <w:rPr>
          <w:rFonts w:ascii="Cambria" w:eastAsia="Times New Roman" w:hAnsi="Cambria" w:cstheme="minorHAnsi"/>
        </w:rPr>
      </w:pPr>
      <w:r w:rsidRPr="00CD7837">
        <w:rPr>
          <w:rFonts w:ascii="Cambria" w:eastAsia="Times New Roman" w:hAnsi="Cambria" w:cstheme="minorHAnsi"/>
        </w:rPr>
        <w:t xml:space="preserve">Has consideration been given to the influence that past and/or present instructional programs have had on current academic performance? </w:t>
      </w:r>
    </w:p>
    <w:p w14:paraId="15E38F69" w14:textId="77777777" w:rsidR="00AC6318" w:rsidRPr="008A10C0" w:rsidRDefault="00AC6318" w:rsidP="00AC6318">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ensure that the CLD student has received an adequate opportunity to learn as this is a prerequisite to RTI and/or special education services. </w:t>
      </w:r>
    </w:p>
    <w:p w14:paraId="560162C5" w14:textId="77777777" w:rsidR="00AC6318" w:rsidRPr="008A10C0" w:rsidRDefault="00AC6318" w:rsidP="00AC6318">
      <w:pPr>
        <w:numPr>
          <w:ilvl w:val="0"/>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Is the student’s English proficiency high enough to yield accurate levels of performance? </w:t>
      </w:r>
    </w:p>
    <w:p w14:paraId="0E36FF2E" w14:textId="77777777" w:rsidR="00AC6318" w:rsidRPr="008A10C0" w:rsidRDefault="00AC6318" w:rsidP="00AC6318">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assess for language loss, language shift or attrition. Monitor progress in both languages and make decisions based on student’s stronger language. </w:t>
      </w:r>
    </w:p>
    <w:p w14:paraId="6EE8327E" w14:textId="77777777" w:rsidR="00AC6318" w:rsidRPr="008A10C0" w:rsidRDefault="00AC6318" w:rsidP="00AC6318">
      <w:pPr>
        <w:numPr>
          <w:ilvl w:val="0"/>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adjustments for pace of instruction, oral responses, test taking, and interventions implemented to achieve optimum performance due to slower mental processing in the CLD student’s less proficient language? </w:t>
      </w:r>
    </w:p>
    <w:p w14:paraId="5CE6011C" w14:textId="77777777" w:rsidR="00AC6318" w:rsidRPr="008A10C0" w:rsidRDefault="00AC6318" w:rsidP="00AC6318">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make adjustments for slower auditory memory, slower reading speed, and slower oral comprehension. </w:t>
      </w:r>
    </w:p>
    <w:p w14:paraId="7EC57A64" w14:textId="77777777" w:rsidR="00AC6318" w:rsidRPr="008A10C0" w:rsidRDefault="00AC6318" w:rsidP="00AC6318">
      <w:pPr>
        <w:numPr>
          <w:ilvl w:val="0"/>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multiple measures of performance taken so as not to make decisions based on only one aspect of performance? </w:t>
      </w:r>
    </w:p>
    <w:p w14:paraId="78F54BC1" w14:textId="77777777" w:rsidR="00AC6318" w:rsidRPr="008A10C0" w:rsidRDefault="00AC6318" w:rsidP="00AC6318">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make frequent progress monitoring probes especially when phonemic awareness is emphasized. </w:t>
      </w:r>
    </w:p>
    <w:p w14:paraId="75682E03" w14:textId="77777777" w:rsidR="00AC6318" w:rsidRPr="008A10C0" w:rsidRDefault="00AC6318" w:rsidP="00AC6318">
      <w:pPr>
        <w:numPr>
          <w:ilvl w:val="0"/>
          <w:numId w:val="1"/>
        </w:numPr>
        <w:spacing w:before="100" w:beforeAutospacing="1" w:after="100" w:afterAutospacing="1"/>
        <w:rPr>
          <w:rFonts w:ascii="Cambria" w:eastAsia="Times New Roman" w:hAnsi="Cambria" w:cstheme="minorHAnsi"/>
        </w:rPr>
      </w:pPr>
      <w:r w:rsidRPr="008A10C0">
        <w:rPr>
          <w:rFonts w:ascii="Cambria" w:eastAsia="Times New Roman" w:hAnsi="Cambria" w:cstheme="minorHAnsi"/>
        </w:rPr>
        <w:t xml:space="preserve">Are culturally responsive research-based interventions implemented with integrity/fidelity by a professional competent in the oral and written skills of the student’s language being assessed and who also has knowledge and understanding of the second language acquisition process and student’s cultural and linguistic background? </w:t>
      </w:r>
    </w:p>
    <w:p w14:paraId="38BA0F85" w14:textId="77777777" w:rsidR="00AC6318" w:rsidRPr="008A10C0" w:rsidRDefault="00AC6318" w:rsidP="00AC6318">
      <w:pPr>
        <w:spacing w:before="100" w:beforeAutospacing="1" w:after="100" w:afterAutospacing="1"/>
        <w:ind w:left="720"/>
        <w:rPr>
          <w:rFonts w:ascii="Cambria" w:eastAsia="Times New Roman" w:hAnsi="Cambria" w:cstheme="minorHAnsi"/>
        </w:rPr>
      </w:pPr>
      <w:r w:rsidRPr="008A10C0">
        <w:rPr>
          <w:rFonts w:ascii="Cambria" w:eastAsia="Times New Roman" w:hAnsi="Cambria" w:cstheme="minorHAnsi"/>
        </w:rPr>
        <w:t xml:space="preserve">If not, collaborate with a bilingual/bicultural professional knowledgeable about acculturation, second language acquisition, and culturally responsive instructional practices to develop or select suitable research-based interventions. </w:t>
      </w:r>
    </w:p>
    <w:p w14:paraId="1952CCB2" w14:textId="77777777" w:rsidR="00CD7837" w:rsidRDefault="00F200DC">
      <w:pPr>
        <w:rPr>
          <w:rFonts w:ascii="Cambria" w:eastAsia="Times New Roman" w:hAnsi="Cambria" w:cstheme="minorHAnsi"/>
        </w:rPr>
      </w:pPr>
      <w:r w:rsidRPr="008A10C0">
        <w:rPr>
          <w:rFonts w:ascii="Cambria" w:eastAsia="Times New Roman" w:hAnsi="Cambria" w:cstheme="minorHAnsi"/>
        </w:rPr>
        <w:t>(</w:t>
      </w:r>
      <w:proofErr w:type="gramStart"/>
      <w:r w:rsidRPr="008A10C0">
        <w:rPr>
          <w:rFonts w:ascii="Cambria" w:eastAsia="Times New Roman" w:hAnsi="Cambria" w:cstheme="minorHAnsi"/>
        </w:rPr>
        <w:t>adapted</w:t>
      </w:r>
      <w:proofErr w:type="gramEnd"/>
      <w:r w:rsidRPr="008A10C0">
        <w:rPr>
          <w:rFonts w:ascii="Cambria" w:eastAsia="Times New Roman" w:hAnsi="Cambria" w:cstheme="minorHAnsi"/>
        </w:rPr>
        <w:t xml:space="preserve"> from Figueroa and Newsome, 2006)</w:t>
      </w:r>
    </w:p>
    <w:p w14:paraId="09B9862C" w14:textId="77777777" w:rsidR="00CD7837" w:rsidRDefault="00CD7837">
      <w:pPr>
        <w:rPr>
          <w:rFonts w:ascii="Cambria" w:eastAsia="Times New Roman" w:hAnsi="Cambria" w:cstheme="minorHAnsi"/>
        </w:rPr>
      </w:pPr>
    </w:p>
    <w:p w14:paraId="2D5DAB22" w14:textId="77777777" w:rsidR="00003BE0" w:rsidRDefault="00003BE0">
      <w:pPr>
        <w:rPr>
          <w:rFonts w:ascii="Cambria" w:eastAsia="Times New Roman" w:hAnsi="Cambria" w:cstheme="minorHAnsi"/>
        </w:rPr>
      </w:pPr>
      <w:r>
        <w:rPr>
          <w:rFonts w:ascii="Cambria" w:eastAsia="Times New Roman" w:hAnsi="Cambria" w:cstheme="minorHAnsi"/>
        </w:rPr>
        <w:br w:type="page"/>
      </w:r>
    </w:p>
    <w:p w14:paraId="095901B5" w14:textId="42BBC6A7" w:rsidR="00D00AA6" w:rsidRPr="00D00AA6" w:rsidRDefault="00D00AA6" w:rsidP="00D00AA6">
      <w:pPr>
        <w:jc w:val="center"/>
        <w:rPr>
          <w:rFonts w:ascii="Cambria" w:eastAsia="Times New Roman" w:hAnsi="Cambria" w:cstheme="minorHAnsi"/>
          <w:b/>
          <w:bCs/>
        </w:rPr>
      </w:pPr>
      <w:r w:rsidRPr="00D00AA6">
        <w:rPr>
          <w:rFonts w:ascii="Cambria" w:eastAsia="Times New Roman" w:hAnsi="Cambria" w:cstheme="minorHAnsi"/>
          <w:b/>
          <w:bCs/>
        </w:rPr>
        <w:lastRenderedPageBreak/>
        <w:t>Information to Consider for English Learners during Initial Evaluation and Special Education Eligibility Determination</w:t>
      </w:r>
    </w:p>
    <w:p w14:paraId="36A3455C" w14:textId="77777777" w:rsidR="00D00AA6" w:rsidRPr="00D00AA6" w:rsidRDefault="00D00AA6" w:rsidP="00D00AA6">
      <w:pPr>
        <w:rPr>
          <w:rFonts w:ascii="Cambria" w:eastAsia="Times New Roman" w:hAnsi="Cambria" w:cstheme="minorHAnsi"/>
          <w:b/>
          <w:bCs/>
        </w:rPr>
      </w:pPr>
    </w:p>
    <w:p w14:paraId="30A8B4A3"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Consider target student’s background information.</w:t>
      </w:r>
    </w:p>
    <w:p w14:paraId="53269F5D"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Home language, changes in home language, siblings, etc.</w:t>
      </w:r>
    </w:p>
    <w:p w14:paraId="0BBC9DF0"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Location of birth, moves, pre-school education, etc.</w:t>
      </w:r>
    </w:p>
    <w:p w14:paraId="5E03A9EC"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Developmental history</w:t>
      </w:r>
    </w:p>
    <w:p w14:paraId="4D9AA33E"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Consider student’s previous schooling in primary language and in English.</w:t>
      </w:r>
    </w:p>
    <w:p w14:paraId="40755991"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Consider student’s English acquisition over time.</w:t>
      </w:r>
    </w:p>
    <w:p w14:paraId="70F9D38F"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Baseline and current English proficiency </w:t>
      </w:r>
    </w:p>
    <w:p w14:paraId="3B360485"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Results of any progress monitoring of English acquisition</w:t>
      </w:r>
    </w:p>
    <w:p w14:paraId="225827A1"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Compare rate and level of English acquisition with English Learner peer(s).</w:t>
      </w:r>
    </w:p>
    <w:p w14:paraId="2AF4FFA4"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 xml:space="preserve">Consider language instruction provided to the target student. </w:t>
      </w:r>
    </w:p>
    <w:p w14:paraId="13FFFA3E"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Review information on student’s ILP.</w:t>
      </w:r>
    </w:p>
    <w:p w14:paraId="5E2FD0D2"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Is student being taught in English or primary language or both?  </w:t>
      </w:r>
    </w:p>
    <w:p w14:paraId="6B6B003F"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What is the type of program being provided for language instruction?  </w:t>
      </w:r>
    </w:p>
    <w:p w14:paraId="02F569AD"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How has that program been adjusted to meet individual student needs?</w:t>
      </w:r>
    </w:p>
    <w:p w14:paraId="1BE3BDD5"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Consider universal screening results for student and EL and classroom peers.</w:t>
      </w:r>
    </w:p>
    <w:p w14:paraId="0AF65FC3"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Is student being taught to read in English or primary language or both?</w:t>
      </w:r>
    </w:p>
    <w:p w14:paraId="28C47BFB"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Is screening being conducted in English or primary language or both?</w:t>
      </w:r>
    </w:p>
    <w:p w14:paraId="14D5123F"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 xml:space="preserve">Consider General Education Interventions (GEIs) provided.  </w:t>
      </w:r>
    </w:p>
    <w:p w14:paraId="4D29A7FE"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Are student’s teachers repeatedly linking to L1 in the classroom? </w:t>
      </w:r>
    </w:p>
    <w:p w14:paraId="521EA273"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What were the results of GEI progress monitoring?</w:t>
      </w:r>
    </w:p>
    <w:p w14:paraId="7C4AF42F"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How do results of GEIs for targeted student compare to results of GEIs for other English Learners (Els)? </w:t>
      </w:r>
    </w:p>
    <w:p w14:paraId="6286AA2E"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For RTI evaluations, consider dual discrepancy for the target student compared to English Learner peer(s) with regard to skill development.</w:t>
      </w:r>
    </w:p>
    <w:p w14:paraId="633B9155"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Does target student differ from English Learner peer(s) with regard to level of performance? (Use screening data.)</w:t>
      </w:r>
    </w:p>
    <w:p w14:paraId="7F4355EC"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Does target student differ from English Learner peer(s) with regard to rate of learning? (Use progress monitoring data.)</w:t>
      </w:r>
    </w:p>
    <w:p w14:paraId="55443C17"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Consider input of experienced teacher of ELs regarding (a) and (b).</w:t>
      </w:r>
    </w:p>
    <w:p w14:paraId="35C213D9"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 xml:space="preserve">For Patterns (PSW) method of evaluation, conduct non-biased assessment. </w:t>
      </w:r>
    </w:p>
    <w:p w14:paraId="71804F56"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For either method of evaluation, consider conducting nonverbal assessment with low cultural loading.</w:t>
      </w:r>
    </w:p>
    <w:p w14:paraId="62707879"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Multi-dimensional test examples: the Universal Nonverbal Intelligence Test (UNIT), the Leiter-Revised, and the Kaufman Assessment Battery for Children-II (KABC-II) when administering the nonverbal subtests using the pantomimed administration specified by the test authors. </w:t>
      </w:r>
    </w:p>
    <w:p w14:paraId="0FCA98E5" w14:textId="77777777" w:rsidR="00D00AA6" w:rsidRPr="00D00AA6" w:rsidRDefault="00D00AA6" w:rsidP="00D00AA6">
      <w:pPr>
        <w:numPr>
          <w:ilvl w:val="1"/>
          <w:numId w:val="4"/>
        </w:numPr>
        <w:rPr>
          <w:rFonts w:ascii="Cambria" w:eastAsia="Times New Roman" w:hAnsi="Cambria" w:cstheme="minorHAnsi"/>
        </w:rPr>
      </w:pPr>
      <w:r w:rsidRPr="00D00AA6">
        <w:rPr>
          <w:rFonts w:ascii="Cambria" w:eastAsia="Times New Roman" w:hAnsi="Cambria" w:cstheme="minorHAnsi"/>
        </w:rPr>
        <w:t xml:space="preserve">Uni-dimensional test examples: the Test of Nonverbal Intelligence-Third Edition (TONI-III), the Comprehensive Test of Nonverbal Intelligence (C-TONI), the </w:t>
      </w:r>
      <w:proofErr w:type="spellStart"/>
      <w:r w:rsidRPr="00D00AA6">
        <w:rPr>
          <w:rFonts w:ascii="Cambria" w:eastAsia="Times New Roman" w:hAnsi="Cambria" w:cstheme="minorHAnsi"/>
        </w:rPr>
        <w:t>Naglieri</w:t>
      </w:r>
      <w:proofErr w:type="spellEnd"/>
      <w:r w:rsidRPr="00D00AA6">
        <w:rPr>
          <w:rFonts w:ascii="Cambria" w:eastAsia="Times New Roman" w:hAnsi="Cambria" w:cstheme="minorHAnsi"/>
        </w:rPr>
        <w:t xml:space="preserve"> Nonverbal Ability Test (NNAT), and Raven’s Progressive Matrices (RPM). </w:t>
      </w:r>
    </w:p>
    <w:p w14:paraId="6A5841FC"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How do the target student’s progress and needs differ from those of other ELs?</w:t>
      </w:r>
    </w:p>
    <w:p w14:paraId="56E8549C" w14:textId="77777777" w:rsidR="00D00AA6" w:rsidRPr="00D00AA6" w:rsidRDefault="00D00AA6" w:rsidP="00D00AA6">
      <w:pPr>
        <w:numPr>
          <w:ilvl w:val="0"/>
          <w:numId w:val="4"/>
        </w:numPr>
        <w:rPr>
          <w:rFonts w:ascii="Cambria" w:eastAsia="Times New Roman" w:hAnsi="Cambria" w:cstheme="minorHAnsi"/>
        </w:rPr>
      </w:pPr>
      <w:r w:rsidRPr="00D00AA6">
        <w:rPr>
          <w:rFonts w:ascii="Cambria" w:eastAsia="Times New Roman" w:hAnsi="Cambria" w:cstheme="minorHAnsi"/>
        </w:rPr>
        <w:t>Apply two-prong test of eligibility to data collected (see Indicators Document).</w:t>
      </w:r>
    </w:p>
    <w:p w14:paraId="5285078A" w14:textId="2A02CC60" w:rsidR="00D00AA6" w:rsidRDefault="00D00AA6">
      <w:pPr>
        <w:rPr>
          <w:rFonts w:ascii="Cambria" w:eastAsia="Times New Roman" w:hAnsi="Cambria" w:cstheme="minorHAnsi"/>
          <w:b/>
          <w:bCs/>
        </w:rPr>
      </w:pPr>
    </w:p>
    <w:p w14:paraId="79BBA7AC" w14:textId="47F9BAEE" w:rsidR="005135DF" w:rsidRDefault="005135DF" w:rsidP="0000185D">
      <w:pPr>
        <w:jc w:val="center"/>
        <w:rPr>
          <w:rFonts w:ascii="Cambria" w:eastAsia="Times New Roman" w:hAnsi="Cambria" w:cstheme="minorHAnsi"/>
          <w:b/>
          <w:bCs/>
        </w:rPr>
      </w:pPr>
      <w:r>
        <w:rPr>
          <w:rFonts w:ascii="Cambria" w:eastAsia="Times New Roman" w:hAnsi="Cambria" w:cstheme="minorHAnsi"/>
          <w:b/>
          <w:bCs/>
        </w:rPr>
        <w:lastRenderedPageBreak/>
        <w:t xml:space="preserve">EXAMPLES OF </w:t>
      </w:r>
      <w:r w:rsidR="0000185D">
        <w:rPr>
          <w:rFonts w:ascii="Cambria" w:eastAsia="Times New Roman" w:hAnsi="Cambria" w:cstheme="minorHAnsi"/>
          <w:b/>
          <w:bCs/>
        </w:rPr>
        <w:t>DESCRIPTIONS OF EVALUATION OF LEP STUDENTS</w:t>
      </w:r>
    </w:p>
    <w:p w14:paraId="6D9648E5" w14:textId="77777777" w:rsidR="005135DF" w:rsidRDefault="005135DF">
      <w:pPr>
        <w:rPr>
          <w:rFonts w:ascii="Cambria" w:eastAsia="Times New Roman" w:hAnsi="Cambria" w:cstheme="minorHAnsi"/>
          <w:b/>
          <w:bCs/>
        </w:rPr>
      </w:pPr>
    </w:p>
    <w:p w14:paraId="4987B0CE" w14:textId="2F1C5930" w:rsidR="00003BE0" w:rsidRPr="00326921" w:rsidRDefault="00003BE0">
      <w:pPr>
        <w:rPr>
          <w:rFonts w:ascii="Cambria" w:eastAsia="Times New Roman" w:hAnsi="Cambria" w:cstheme="minorHAnsi"/>
          <w:b/>
          <w:bCs/>
        </w:rPr>
      </w:pPr>
      <w:r w:rsidRPr="00326921">
        <w:rPr>
          <w:rFonts w:ascii="Cambria" w:eastAsia="Times New Roman" w:hAnsi="Cambria" w:cstheme="minorHAnsi"/>
          <w:b/>
          <w:bCs/>
        </w:rPr>
        <w:t>Example</w:t>
      </w:r>
      <w:r w:rsidR="00326921">
        <w:rPr>
          <w:rFonts w:ascii="Cambria" w:eastAsia="Times New Roman" w:hAnsi="Cambria" w:cstheme="minorHAnsi"/>
          <w:b/>
          <w:bCs/>
        </w:rPr>
        <w:t xml:space="preserve"> 1</w:t>
      </w:r>
      <w:r w:rsidRPr="00326921">
        <w:rPr>
          <w:rFonts w:ascii="Cambria" w:eastAsia="Times New Roman" w:hAnsi="Cambria" w:cstheme="minorHAnsi"/>
          <w:b/>
          <w:bCs/>
        </w:rPr>
        <w:t>:</w:t>
      </w:r>
    </w:p>
    <w:p w14:paraId="6EA4E0A6" w14:textId="77777777" w:rsidR="00326921" w:rsidRPr="00326921" w:rsidRDefault="00003BE0" w:rsidP="00326921">
      <w:pPr>
        <w:rPr>
          <w:rFonts w:ascii="Cambria" w:eastAsia="Times New Roman" w:hAnsi="Cambria" w:cs="Times New Roman"/>
          <w:color w:val="000000"/>
        </w:rPr>
      </w:pPr>
      <w:r w:rsidRPr="00537DF0">
        <w:rPr>
          <w:rFonts w:ascii="Cambria" w:eastAsia="Times New Roman" w:hAnsi="Cambria" w:cs="Times New Roman"/>
          <w:i/>
          <w:iCs/>
          <w:color w:val="000000"/>
        </w:rPr>
        <w:t>Student</w:t>
      </w:r>
      <w:r w:rsidRPr="00326921">
        <w:rPr>
          <w:rFonts w:ascii="Cambria" w:eastAsia="Times New Roman" w:hAnsi="Cambria" w:cs="Times New Roman"/>
          <w:color w:val="000000"/>
        </w:rPr>
        <w:t xml:space="preserve"> was administered the Wechsler Intelligence Scale for Children – Fifth Edition, Spanish (WISC-V Spanish) in order to assess her current level of cognitive functioning. </w:t>
      </w:r>
      <w:r w:rsidR="00326921" w:rsidRPr="00326921">
        <w:rPr>
          <w:rFonts w:ascii="Cambria" w:eastAsia="Times New Roman" w:hAnsi="Cambria" w:cs="Times New Roman"/>
          <w:color w:val="000000"/>
        </w:rPr>
        <w:t xml:space="preserve">Her performance was compared with that of others her same age nationwide. It should be noted that </w:t>
      </w:r>
      <w:r w:rsidR="00326921" w:rsidRPr="00537DF0">
        <w:rPr>
          <w:rFonts w:ascii="Cambria" w:eastAsia="Times New Roman" w:hAnsi="Cambria" w:cs="Times New Roman"/>
          <w:i/>
          <w:iCs/>
          <w:color w:val="000000"/>
        </w:rPr>
        <w:t>Student</w:t>
      </w:r>
      <w:r w:rsidR="00326921" w:rsidRPr="00326921">
        <w:rPr>
          <w:rFonts w:ascii="Cambria" w:eastAsia="Times New Roman" w:hAnsi="Cambria" w:cs="Times New Roman"/>
          <w:color w:val="000000"/>
        </w:rPr>
        <w:t xml:space="preserve"> requested she be assessed in Spanish and a native Spanish speaker (a bilingual speech-language pathologist) assisted in the administration of this assessment in conjunction with the school psychologist. At times, </w:t>
      </w:r>
      <w:r w:rsidR="00326921" w:rsidRPr="00537DF0">
        <w:rPr>
          <w:rFonts w:ascii="Cambria" w:eastAsia="Times New Roman" w:hAnsi="Cambria" w:cs="Times New Roman"/>
          <w:i/>
          <w:iCs/>
          <w:color w:val="000000"/>
        </w:rPr>
        <w:t>Student</w:t>
      </w:r>
      <w:r w:rsidR="00326921" w:rsidRPr="00326921">
        <w:rPr>
          <w:rFonts w:ascii="Cambria" w:eastAsia="Times New Roman" w:hAnsi="Cambria" w:cs="Times New Roman"/>
          <w:color w:val="000000"/>
        </w:rPr>
        <w:t xml:space="preserve"> did request that the instructions be given to her in both languages. She also opted to answer in either language, with the slight majority of her answers given in English. Results should be interpreted with extreme caution and may be an underrepresentation of </w:t>
      </w:r>
      <w:r w:rsidR="00326921" w:rsidRPr="00057E82">
        <w:rPr>
          <w:rFonts w:ascii="Cambria" w:eastAsia="Times New Roman" w:hAnsi="Cambria" w:cs="Times New Roman"/>
          <w:i/>
          <w:iCs/>
          <w:color w:val="000000"/>
        </w:rPr>
        <w:t>Student</w:t>
      </w:r>
      <w:r w:rsidR="00326921" w:rsidRPr="00326921">
        <w:rPr>
          <w:rFonts w:ascii="Cambria" w:eastAsia="Times New Roman" w:hAnsi="Cambria" w:cs="Times New Roman"/>
          <w:color w:val="000000"/>
        </w:rPr>
        <w:t>'s true abilities due to the mitigating impacts of her language proficiency. </w:t>
      </w:r>
    </w:p>
    <w:p w14:paraId="6C392BD0" w14:textId="77777777" w:rsidR="00326921" w:rsidRDefault="00326921">
      <w:pPr>
        <w:rPr>
          <w:rFonts w:ascii="Cambria" w:eastAsia="Times New Roman" w:hAnsi="Cambria" w:cstheme="minorHAnsi"/>
        </w:rPr>
      </w:pPr>
    </w:p>
    <w:p w14:paraId="0940AA71" w14:textId="65D3F246" w:rsidR="00326921" w:rsidRPr="00326921" w:rsidRDefault="00326921" w:rsidP="00326921">
      <w:pPr>
        <w:rPr>
          <w:rFonts w:ascii="Cambria" w:eastAsia="Times New Roman" w:hAnsi="Cambria" w:cstheme="minorHAnsi"/>
          <w:b/>
          <w:bCs/>
        </w:rPr>
      </w:pPr>
      <w:r>
        <w:rPr>
          <w:rFonts w:ascii="Cambria" w:eastAsia="Times New Roman" w:hAnsi="Cambria" w:cstheme="minorHAnsi"/>
          <w:b/>
          <w:bCs/>
        </w:rPr>
        <w:t>Example 2:</w:t>
      </w:r>
    </w:p>
    <w:p w14:paraId="3E21CD47" w14:textId="77777777" w:rsidR="00326921" w:rsidRDefault="00326921" w:rsidP="00326921">
      <w:pPr>
        <w:rPr>
          <w:rFonts w:ascii="Cambria" w:eastAsia="Times New Roman" w:hAnsi="Cambria" w:cstheme="minorHAnsi"/>
        </w:rPr>
      </w:pPr>
      <w:r w:rsidRPr="00326921">
        <w:rPr>
          <w:rFonts w:ascii="Cambria" w:eastAsia="Times New Roman" w:hAnsi="Cambria" w:cstheme="minorHAnsi"/>
        </w:rPr>
        <w:t xml:space="preserve">Prior to assessment, </w:t>
      </w:r>
      <w:r w:rsidRPr="00326921">
        <w:rPr>
          <w:rFonts w:ascii="Cambria" w:eastAsia="Times New Roman" w:hAnsi="Cambria" w:cstheme="minorHAnsi"/>
          <w:i/>
          <w:iCs/>
        </w:rPr>
        <w:t>Student</w:t>
      </w:r>
      <w:r w:rsidRPr="00326921">
        <w:rPr>
          <w:rFonts w:ascii="Cambria" w:eastAsia="Times New Roman" w:hAnsi="Cambria" w:cstheme="minorHAnsi"/>
        </w:rPr>
        <w:t xml:space="preserve"> was asked if she preferred to be assessed in English or Spanish (or both) and how she would like to provide her answers. She indicated that she wished to be assessed and to answer in English. She also reported that she felt more comfortable speaking and being spoken to in English rather than Spanish. This was surprising in light of available testing data that indicated she had higher language proficiency in Spanish than in English. As a precaution, a Spanish speaking translator was available for all assessment sessions. </w:t>
      </w:r>
      <w:r w:rsidRPr="00326921">
        <w:rPr>
          <w:rFonts w:ascii="Cambria" w:eastAsia="Times New Roman" w:hAnsi="Cambria" w:cstheme="minorHAnsi"/>
          <w:i/>
          <w:iCs/>
        </w:rPr>
        <w:t>Student</w:t>
      </w:r>
      <w:r w:rsidRPr="00326921">
        <w:rPr>
          <w:rFonts w:ascii="Cambria" w:eastAsia="Times New Roman" w:hAnsi="Cambria" w:cstheme="minorHAnsi"/>
        </w:rPr>
        <w:t xml:space="preserve"> did not request any prompts or repetitions in Spanish and provided all her answers nonverbally (when appropriate) or in English. </w:t>
      </w:r>
    </w:p>
    <w:p w14:paraId="20240AC2" w14:textId="77777777" w:rsidR="00326921" w:rsidRDefault="00326921" w:rsidP="00326921">
      <w:pPr>
        <w:rPr>
          <w:rFonts w:ascii="Cambria" w:eastAsia="Times New Roman" w:hAnsi="Cambria" w:cstheme="minorHAnsi"/>
        </w:rPr>
      </w:pPr>
    </w:p>
    <w:p w14:paraId="577126E4" w14:textId="77777777" w:rsidR="00326921" w:rsidRDefault="00326921" w:rsidP="00326921">
      <w:pPr>
        <w:rPr>
          <w:rFonts w:ascii="Cambria" w:eastAsia="Times New Roman" w:hAnsi="Cambria" w:cstheme="minorHAnsi"/>
          <w:b/>
          <w:bCs/>
        </w:rPr>
      </w:pPr>
      <w:r>
        <w:rPr>
          <w:rFonts w:ascii="Cambria" w:eastAsia="Times New Roman" w:hAnsi="Cambria" w:cstheme="minorHAnsi"/>
          <w:b/>
          <w:bCs/>
        </w:rPr>
        <w:t>Example 3:</w:t>
      </w:r>
    </w:p>
    <w:p w14:paraId="2491DDF3" w14:textId="03C982F1" w:rsidR="008803E5" w:rsidRPr="008803E5" w:rsidRDefault="008803E5" w:rsidP="008803E5">
      <w:pPr>
        <w:rPr>
          <w:rFonts w:ascii="Cambria" w:eastAsia="Times New Roman" w:hAnsi="Cambria" w:cstheme="minorHAnsi"/>
        </w:rPr>
      </w:pPr>
      <w:r w:rsidRPr="008803E5">
        <w:rPr>
          <w:rFonts w:ascii="Cambria" w:eastAsia="Times New Roman" w:hAnsi="Cambria" w:cstheme="minorHAnsi"/>
          <w:i/>
          <w:iCs/>
        </w:rPr>
        <w:t>Student</w:t>
      </w:r>
      <w:r w:rsidRPr="008803E5">
        <w:rPr>
          <w:rFonts w:ascii="Cambria" w:eastAsia="Times New Roman" w:hAnsi="Cambria" w:cstheme="minorHAnsi"/>
        </w:rPr>
        <w:t xml:space="preserve"> is a bilingual student whose primary language is Spanish, and this assessment was presented in English. The results of bilingual speech-language testing indicate </w:t>
      </w:r>
      <w:r w:rsidRPr="008803E5">
        <w:rPr>
          <w:rFonts w:ascii="Cambria" w:eastAsia="Times New Roman" w:hAnsi="Cambria" w:cstheme="minorHAnsi"/>
          <w:i/>
          <w:iCs/>
        </w:rPr>
        <w:t>student</w:t>
      </w:r>
      <w:r w:rsidRPr="008803E5">
        <w:rPr>
          <w:rFonts w:ascii="Cambria" w:eastAsia="Times New Roman" w:hAnsi="Cambria" w:cstheme="minorHAnsi"/>
        </w:rPr>
        <w:t xml:space="preserve">’s Spanish language skills are appropriate for her age, but </w:t>
      </w:r>
      <w:r>
        <w:rPr>
          <w:rFonts w:ascii="Cambria" w:eastAsia="Times New Roman" w:hAnsi="Cambria" w:cstheme="minorHAnsi"/>
        </w:rPr>
        <w:t>student</w:t>
      </w:r>
      <w:r w:rsidRPr="008803E5">
        <w:rPr>
          <w:rFonts w:ascii="Cambria" w:eastAsia="Times New Roman" w:hAnsi="Cambria" w:cstheme="minorHAnsi"/>
        </w:rPr>
        <w:t xml:space="preserve"> is still learning English. Although some WISC-V subtests are considered “nonverbal” because they do not require a verbal response from the student, directions and instructions are still provided in English. A careful interpretation of </w:t>
      </w:r>
      <w:r w:rsidRPr="008803E5">
        <w:rPr>
          <w:rFonts w:ascii="Cambria" w:eastAsia="Times New Roman" w:hAnsi="Cambria" w:cstheme="minorHAnsi"/>
          <w:i/>
          <w:iCs/>
        </w:rPr>
        <w:t>student</w:t>
      </w:r>
      <w:r w:rsidRPr="008803E5">
        <w:rPr>
          <w:rFonts w:ascii="Cambria" w:eastAsia="Times New Roman" w:hAnsi="Cambria" w:cstheme="minorHAnsi"/>
        </w:rPr>
        <w:t xml:space="preserve">’s subtest performances using the Cultural-Language Interpretation Matrix (C-LIM) reveals an overall pattern of declining performance that is typical (or, within the range that is expected) of other individuals with similar cultural and linguistic backgrounds. The pattern of her subtest performances (in which </w:t>
      </w:r>
      <w:r w:rsidRPr="008803E5">
        <w:rPr>
          <w:rFonts w:ascii="Cambria" w:eastAsia="Times New Roman" w:hAnsi="Cambria" w:cstheme="minorHAnsi"/>
          <w:i/>
          <w:iCs/>
        </w:rPr>
        <w:t>student</w:t>
      </w:r>
      <w:r w:rsidRPr="008803E5">
        <w:rPr>
          <w:rFonts w:ascii="Cambria" w:eastAsia="Times New Roman" w:hAnsi="Cambria" w:cstheme="minorHAnsi"/>
        </w:rPr>
        <w:t xml:space="preserve"> performs increasingly poorly on tasks with increased linguistic and/or cultural demands) suggests her testing performance was primarily influenced by cultural and linguistic factors, rather than true cognitive ability. </w:t>
      </w:r>
    </w:p>
    <w:p w14:paraId="4002921A" w14:textId="0928EB7C" w:rsidR="00326921" w:rsidRDefault="00326921" w:rsidP="00326921">
      <w:pPr>
        <w:rPr>
          <w:rFonts w:ascii="Cambria" w:eastAsia="Times New Roman" w:hAnsi="Cambria" w:cstheme="minorHAnsi"/>
        </w:rPr>
      </w:pPr>
      <w:r w:rsidRPr="00326921">
        <w:rPr>
          <w:rFonts w:ascii="Cambria" w:eastAsia="Times New Roman" w:hAnsi="Cambria" w:cstheme="minorHAnsi"/>
        </w:rPr>
        <w:t> </w:t>
      </w:r>
    </w:p>
    <w:p w14:paraId="01DEAA73" w14:textId="1CF45307" w:rsidR="008803E5" w:rsidRDefault="008803E5" w:rsidP="00326921">
      <w:pPr>
        <w:rPr>
          <w:rFonts w:ascii="Cambria" w:eastAsia="Times New Roman" w:hAnsi="Cambria" w:cstheme="minorHAnsi"/>
          <w:b/>
          <w:bCs/>
        </w:rPr>
      </w:pPr>
      <w:r>
        <w:rPr>
          <w:rFonts w:ascii="Cambria" w:eastAsia="Times New Roman" w:hAnsi="Cambria" w:cstheme="minorHAnsi"/>
          <w:b/>
          <w:bCs/>
        </w:rPr>
        <w:t>Example 4:</w:t>
      </w:r>
    </w:p>
    <w:p w14:paraId="269BED75" w14:textId="3B4B9D8D" w:rsidR="008803E5" w:rsidRPr="008803E5" w:rsidRDefault="008803E5" w:rsidP="008803E5">
      <w:pPr>
        <w:rPr>
          <w:rFonts w:ascii="Cambria" w:eastAsia="Times New Roman" w:hAnsi="Cambria" w:cstheme="minorHAnsi"/>
        </w:rPr>
      </w:pPr>
      <w:r w:rsidRPr="008803E5">
        <w:rPr>
          <w:rFonts w:ascii="Cambria" w:eastAsia="Times New Roman" w:hAnsi="Cambria" w:cstheme="minorHAnsi"/>
        </w:rPr>
        <w:t xml:space="preserve">Speech-language testing indicates </w:t>
      </w:r>
      <w:r>
        <w:rPr>
          <w:rFonts w:ascii="Cambria" w:eastAsia="Times New Roman" w:hAnsi="Cambria" w:cstheme="minorHAnsi"/>
          <w:i/>
          <w:iCs/>
        </w:rPr>
        <w:t>student</w:t>
      </w:r>
      <w:r w:rsidRPr="008803E5">
        <w:rPr>
          <w:rFonts w:ascii="Cambria" w:eastAsia="Times New Roman" w:hAnsi="Cambria" w:cstheme="minorHAnsi"/>
        </w:rPr>
        <w:t xml:space="preserve"> demonstrates typical language development in his first language of Spanish, while his scores in English are significantly lower, as </w:t>
      </w:r>
      <w:r>
        <w:rPr>
          <w:rFonts w:ascii="Cambria" w:eastAsia="Times New Roman" w:hAnsi="Cambria" w:cstheme="minorHAnsi"/>
          <w:i/>
          <w:iCs/>
        </w:rPr>
        <w:t>student</w:t>
      </w:r>
      <w:r w:rsidRPr="008803E5">
        <w:rPr>
          <w:rFonts w:ascii="Cambria" w:eastAsia="Times New Roman" w:hAnsi="Cambria" w:cstheme="minorHAnsi"/>
        </w:rPr>
        <w:t xml:space="preserve"> is continuing to learn the English language. Because his testing was conducted only in English, his scores must be INTERPRETED WITH EXTREME CAUTION, as they are unlikely to accurately reflect his true cognitive abilities, and they are likely to under-represent his current functioning.</w:t>
      </w:r>
    </w:p>
    <w:p w14:paraId="314EB5B6" w14:textId="3DA4F61C" w:rsidR="00003BE0" w:rsidRDefault="00003BE0">
      <w:pPr>
        <w:rPr>
          <w:rFonts w:ascii="Cambria" w:eastAsia="Times New Roman" w:hAnsi="Cambria" w:cstheme="minorHAnsi"/>
        </w:rPr>
      </w:pPr>
    </w:p>
    <w:p w14:paraId="6448051D" w14:textId="4684B9F3" w:rsidR="00CD7837" w:rsidRDefault="00CD7837" w:rsidP="00003BE0">
      <w:pPr>
        <w:jc w:val="both"/>
        <w:rPr>
          <w:rFonts w:ascii="Cambria" w:eastAsia="Times New Roman" w:hAnsi="Cambria" w:cstheme="minorHAnsi"/>
        </w:rPr>
      </w:pPr>
    </w:p>
    <w:p w14:paraId="39F910A3" w14:textId="77777777" w:rsidR="00CD7837" w:rsidRPr="00B50F75" w:rsidRDefault="00CD7837" w:rsidP="00CD7837">
      <w:pPr>
        <w:jc w:val="center"/>
        <w:rPr>
          <w:rFonts w:ascii="Cambria" w:eastAsia="Times New Roman" w:hAnsi="Cambria" w:cstheme="minorHAnsi"/>
          <w:b/>
          <w:bCs/>
        </w:rPr>
      </w:pPr>
      <w:r>
        <w:rPr>
          <w:b/>
          <w:sz w:val="28"/>
          <w:szCs w:val="28"/>
        </w:rPr>
        <w:t>Reflection:</w:t>
      </w:r>
      <w:r w:rsidRPr="00A5369F">
        <w:rPr>
          <w:b/>
          <w:sz w:val="28"/>
          <w:szCs w:val="28"/>
        </w:rPr>
        <w:t xml:space="preserve"> Evaluation Procedures</w:t>
      </w:r>
      <w:r>
        <w:rPr>
          <w:b/>
          <w:sz w:val="28"/>
          <w:szCs w:val="28"/>
        </w:rPr>
        <w:t xml:space="preserve"> Requirements</w:t>
      </w:r>
    </w:p>
    <w:p w14:paraId="230014A9" w14:textId="77777777" w:rsidR="00CD7837" w:rsidRDefault="00CD7837" w:rsidP="00CD7837">
      <w:pPr>
        <w:jc w:val="center"/>
        <w:rPr>
          <w:b/>
        </w:rPr>
      </w:pPr>
    </w:p>
    <w:p w14:paraId="552549E5" w14:textId="77777777" w:rsidR="00CD7837" w:rsidRDefault="00CD7837" w:rsidP="00CD7837">
      <w:r>
        <w:t>Reflect on your evaluation team’s practices in terms of the IDEA requirements for evaluation procedures.  Rate your team’s practice as an individual, then together discuss the ratings of all team members and reflect how your team might work to improve evaluation procedures.</w:t>
      </w:r>
    </w:p>
    <w:p w14:paraId="1290C05E" w14:textId="77777777" w:rsidR="00CD7837" w:rsidRDefault="00CD7837" w:rsidP="00CD7837"/>
    <w:tbl>
      <w:tblPr>
        <w:tblStyle w:val="TableGrid"/>
        <w:tblW w:w="0" w:type="auto"/>
        <w:tblLayout w:type="fixed"/>
        <w:tblLook w:val="00A0" w:firstRow="1" w:lastRow="0" w:firstColumn="1" w:lastColumn="0" w:noHBand="0" w:noVBand="0"/>
      </w:tblPr>
      <w:tblGrid>
        <w:gridCol w:w="4608"/>
        <w:gridCol w:w="1350"/>
        <w:gridCol w:w="1350"/>
        <w:gridCol w:w="1530"/>
      </w:tblGrid>
      <w:tr w:rsidR="00CD7837" w14:paraId="2319C605" w14:textId="77777777" w:rsidTr="007D6A2F">
        <w:tc>
          <w:tcPr>
            <w:tcW w:w="4608" w:type="dxa"/>
          </w:tcPr>
          <w:p w14:paraId="56309862" w14:textId="77777777" w:rsidR="00CD7837" w:rsidRDefault="00CD7837" w:rsidP="007D6A2F">
            <w:r>
              <w:t>Required Evaluation Procedures</w:t>
            </w:r>
          </w:p>
        </w:tc>
        <w:tc>
          <w:tcPr>
            <w:tcW w:w="1350" w:type="dxa"/>
          </w:tcPr>
          <w:p w14:paraId="2152D752" w14:textId="77777777" w:rsidR="00CD7837" w:rsidRDefault="00CD7837" w:rsidP="007D6A2F">
            <w:r>
              <w:t>Our team engages in best practices</w:t>
            </w:r>
          </w:p>
        </w:tc>
        <w:tc>
          <w:tcPr>
            <w:tcW w:w="1350" w:type="dxa"/>
          </w:tcPr>
          <w:p w14:paraId="021B37F7" w14:textId="77777777" w:rsidR="00CD7837" w:rsidRDefault="00CD7837" w:rsidP="007D6A2F">
            <w:r>
              <w:t>Our team is minimally compliant</w:t>
            </w:r>
          </w:p>
        </w:tc>
        <w:tc>
          <w:tcPr>
            <w:tcW w:w="1530" w:type="dxa"/>
          </w:tcPr>
          <w:p w14:paraId="693EA3AB" w14:textId="77777777" w:rsidR="00CD7837" w:rsidRDefault="00CD7837" w:rsidP="007D6A2F">
            <w:r>
              <w:t>Our team needs to improve compliance</w:t>
            </w:r>
          </w:p>
        </w:tc>
      </w:tr>
      <w:tr w:rsidR="00CD7837" w14:paraId="626F27BD" w14:textId="77777777" w:rsidTr="007D6A2F">
        <w:tc>
          <w:tcPr>
            <w:tcW w:w="4608" w:type="dxa"/>
          </w:tcPr>
          <w:p w14:paraId="2ECE71B4" w14:textId="77777777" w:rsidR="00CD7837" w:rsidRDefault="00CD7837" w:rsidP="007D6A2F">
            <w:r w:rsidRPr="00752465">
              <w:t>•Use a variety of assessment tools and strategies to gather relevant functional, developmental, and academic information</w:t>
            </w:r>
          </w:p>
        </w:tc>
        <w:tc>
          <w:tcPr>
            <w:tcW w:w="1350" w:type="dxa"/>
          </w:tcPr>
          <w:p w14:paraId="40ECCF99" w14:textId="77777777" w:rsidR="00CD7837" w:rsidRDefault="00CD7837" w:rsidP="007D6A2F"/>
        </w:tc>
        <w:tc>
          <w:tcPr>
            <w:tcW w:w="1350" w:type="dxa"/>
          </w:tcPr>
          <w:p w14:paraId="57E4E5D1" w14:textId="77777777" w:rsidR="00CD7837" w:rsidRDefault="00CD7837" w:rsidP="007D6A2F"/>
        </w:tc>
        <w:tc>
          <w:tcPr>
            <w:tcW w:w="1530" w:type="dxa"/>
          </w:tcPr>
          <w:p w14:paraId="0351567A" w14:textId="77777777" w:rsidR="00CD7837" w:rsidRDefault="00CD7837" w:rsidP="007D6A2F"/>
        </w:tc>
      </w:tr>
      <w:tr w:rsidR="00CD7837" w14:paraId="52FACE39" w14:textId="77777777" w:rsidTr="007D6A2F">
        <w:tc>
          <w:tcPr>
            <w:tcW w:w="4608" w:type="dxa"/>
          </w:tcPr>
          <w:p w14:paraId="5D5457F3" w14:textId="77777777" w:rsidR="00CD7837" w:rsidRDefault="00CD7837" w:rsidP="007D6A2F">
            <w:r w:rsidRPr="00752465">
              <w:t>•Include information from the parents</w:t>
            </w:r>
          </w:p>
          <w:p w14:paraId="07BEF167" w14:textId="77777777" w:rsidR="00CD7837" w:rsidRDefault="00CD7837" w:rsidP="007D6A2F"/>
        </w:tc>
        <w:tc>
          <w:tcPr>
            <w:tcW w:w="1350" w:type="dxa"/>
          </w:tcPr>
          <w:p w14:paraId="433FB404" w14:textId="77777777" w:rsidR="00CD7837" w:rsidRDefault="00CD7837" w:rsidP="007D6A2F"/>
        </w:tc>
        <w:tc>
          <w:tcPr>
            <w:tcW w:w="1350" w:type="dxa"/>
          </w:tcPr>
          <w:p w14:paraId="7DE9CEBF" w14:textId="77777777" w:rsidR="00CD7837" w:rsidRDefault="00CD7837" w:rsidP="007D6A2F"/>
        </w:tc>
        <w:tc>
          <w:tcPr>
            <w:tcW w:w="1530" w:type="dxa"/>
          </w:tcPr>
          <w:p w14:paraId="0DAD78AA" w14:textId="77777777" w:rsidR="00CD7837" w:rsidRDefault="00CD7837" w:rsidP="007D6A2F"/>
        </w:tc>
      </w:tr>
      <w:tr w:rsidR="00CD7837" w14:paraId="015A6438" w14:textId="77777777" w:rsidTr="007D6A2F">
        <w:tc>
          <w:tcPr>
            <w:tcW w:w="4608" w:type="dxa"/>
          </w:tcPr>
          <w:p w14:paraId="7AC650F2" w14:textId="77777777" w:rsidR="00CD7837" w:rsidRDefault="00CD7837" w:rsidP="007D6A2F">
            <w:r w:rsidRPr="00752465">
              <w:t>•Include information related to enabling the child to participate and progress in the general curriculum, or, for preschool children, to participate in appropriate activities</w:t>
            </w:r>
          </w:p>
        </w:tc>
        <w:tc>
          <w:tcPr>
            <w:tcW w:w="1350" w:type="dxa"/>
          </w:tcPr>
          <w:p w14:paraId="251C57DD" w14:textId="77777777" w:rsidR="00CD7837" w:rsidRDefault="00CD7837" w:rsidP="007D6A2F"/>
        </w:tc>
        <w:tc>
          <w:tcPr>
            <w:tcW w:w="1350" w:type="dxa"/>
          </w:tcPr>
          <w:p w14:paraId="4B638E2E" w14:textId="77777777" w:rsidR="00CD7837" w:rsidRDefault="00CD7837" w:rsidP="007D6A2F"/>
        </w:tc>
        <w:tc>
          <w:tcPr>
            <w:tcW w:w="1530" w:type="dxa"/>
          </w:tcPr>
          <w:p w14:paraId="45524CD5" w14:textId="77777777" w:rsidR="00CD7837" w:rsidRDefault="00CD7837" w:rsidP="007D6A2F"/>
        </w:tc>
      </w:tr>
      <w:tr w:rsidR="00CD7837" w14:paraId="31CC87AA" w14:textId="77777777" w:rsidTr="007D6A2F">
        <w:tc>
          <w:tcPr>
            <w:tcW w:w="4608" w:type="dxa"/>
          </w:tcPr>
          <w:p w14:paraId="03C36DD9" w14:textId="77777777" w:rsidR="00CD7837" w:rsidRDefault="00CD7837" w:rsidP="007D6A2F">
            <w:r w:rsidRPr="00752465">
              <w:t>•Assess the student in all areas of a suspected exceptionality</w:t>
            </w:r>
          </w:p>
        </w:tc>
        <w:tc>
          <w:tcPr>
            <w:tcW w:w="1350" w:type="dxa"/>
          </w:tcPr>
          <w:p w14:paraId="7B59C578" w14:textId="77777777" w:rsidR="00CD7837" w:rsidRDefault="00CD7837" w:rsidP="007D6A2F"/>
        </w:tc>
        <w:tc>
          <w:tcPr>
            <w:tcW w:w="1350" w:type="dxa"/>
          </w:tcPr>
          <w:p w14:paraId="3DF9754D" w14:textId="77777777" w:rsidR="00CD7837" w:rsidRDefault="00CD7837" w:rsidP="007D6A2F"/>
        </w:tc>
        <w:tc>
          <w:tcPr>
            <w:tcW w:w="1530" w:type="dxa"/>
          </w:tcPr>
          <w:p w14:paraId="2615EA5C" w14:textId="77777777" w:rsidR="00CD7837" w:rsidRDefault="00CD7837" w:rsidP="007D6A2F"/>
        </w:tc>
      </w:tr>
      <w:tr w:rsidR="00CD7837" w14:paraId="61F1CBEF" w14:textId="77777777" w:rsidTr="007D6A2F">
        <w:tc>
          <w:tcPr>
            <w:tcW w:w="4608" w:type="dxa"/>
          </w:tcPr>
          <w:p w14:paraId="0E7D6019" w14:textId="77777777" w:rsidR="00CD7837" w:rsidRDefault="00CD7837" w:rsidP="007D6A2F">
            <w:r w:rsidRPr="00752465">
              <w:t>•Not use any single measure or assessment as the single criterion for determining whether the child is a child with an exceptionality</w:t>
            </w:r>
          </w:p>
        </w:tc>
        <w:tc>
          <w:tcPr>
            <w:tcW w:w="1350" w:type="dxa"/>
          </w:tcPr>
          <w:p w14:paraId="7ADC62AA" w14:textId="77777777" w:rsidR="00CD7837" w:rsidRDefault="00CD7837" w:rsidP="007D6A2F"/>
        </w:tc>
        <w:tc>
          <w:tcPr>
            <w:tcW w:w="1350" w:type="dxa"/>
          </w:tcPr>
          <w:p w14:paraId="73C20DD0" w14:textId="77777777" w:rsidR="00CD7837" w:rsidRDefault="00CD7837" w:rsidP="007D6A2F"/>
        </w:tc>
        <w:tc>
          <w:tcPr>
            <w:tcW w:w="1530" w:type="dxa"/>
          </w:tcPr>
          <w:p w14:paraId="7698E0B7" w14:textId="77777777" w:rsidR="00CD7837" w:rsidRDefault="00CD7837" w:rsidP="007D6A2F"/>
        </w:tc>
      </w:tr>
      <w:tr w:rsidR="00CD7837" w14:paraId="5D1B3152" w14:textId="77777777" w:rsidTr="007D6A2F">
        <w:tc>
          <w:tcPr>
            <w:tcW w:w="4608" w:type="dxa"/>
          </w:tcPr>
          <w:p w14:paraId="1429689E" w14:textId="77777777" w:rsidR="00CD7837" w:rsidRDefault="00CD7837" w:rsidP="007D6A2F">
            <w:r w:rsidRPr="00752465">
              <w:t>•Use technically sound instruments that may assess the relative contribution of cognitive and behavioral factors, in addition to physical or developmental factors</w:t>
            </w:r>
          </w:p>
        </w:tc>
        <w:tc>
          <w:tcPr>
            <w:tcW w:w="1350" w:type="dxa"/>
          </w:tcPr>
          <w:p w14:paraId="139F323E" w14:textId="77777777" w:rsidR="00CD7837" w:rsidRDefault="00CD7837" w:rsidP="007D6A2F"/>
        </w:tc>
        <w:tc>
          <w:tcPr>
            <w:tcW w:w="1350" w:type="dxa"/>
          </w:tcPr>
          <w:p w14:paraId="5D573AE1" w14:textId="77777777" w:rsidR="00CD7837" w:rsidRDefault="00CD7837" w:rsidP="007D6A2F"/>
        </w:tc>
        <w:tc>
          <w:tcPr>
            <w:tcW w:w="1530" w:type="dxa"/>
          </w:tcPr>
          <w:p w14:paraId="767AB914" w14:textId="77777777" w:rsidR="00CD7837" w:rsidRDefault="00CD7837" w:rsidP="007D6A2F"/>
        </w:tc>
      </w:tr>
      <w:tr w:rsidR="00CD7837" w14:paraId="51806544" w14:textId="77777777" w:rsidTr="007D6A2F">
        <w:tc>
          <w:tcPr>
            <w:tcW w:w="4608" w:type="dxa"/>
          </w:tcPr>
          <w:p w14:paraId="773FF6C5" w14:textId="77777777" w:rsidR="00CD7837" w:rsidRDefault="00CD7837" w:rsidP="007D6A2F">
            <w:r w:rsidRPr="00AB07B1">
              <w:t xml:space="preserve">•Use assessment tools and strategies that provide relevant information the directly assists persons in determining the educational needs of the child are provided </w:t>
            </w:r>
          </w:p>
        </w:tc>
        <w:tc>
          <w:tcPr>
            <w:tcW w:w="1350" w:type="dxa"/>
          </w:tcPr>
          <w:p w14:paraId="6BEAD78E" w14:textId="77777777" w:rsidR="00CD7837" w:rsidRDefault="00CD7837" w:rsidP="007D6A2F"/>
        </w:tc>
        <w:tc>
          <w:tcPr>
            <w:tcW w:w="1350" w:type="dxa"/>
          </w:tcPr>
          <w:p w14:paraId="2B5C4352" w14:textId="77777777" w:rsidR="00CD7837" w:rsidRDefault="00CD7837" w:rsidP="007D6A2F"/>
        </w:tc>
        <w:tc>
          <w:tcPr>
            <w:tcW w:w="1530" w:type="dxa"/>
          </w:tcPr>
          <w:p w14:paraId="0D8F6773" w14:textId="77777777" w:rsidR="00CD7837" w:rsidRDefault="00CD7837" w:rsidP="007D6A2F"/>
        </w:tc>
      </w:tr>
      <w:tr w:rsidR="00CD7837" w14:paraId="7F5DAA6C" w14:textId="77777777" w:rsidTr="007D6A2F">
        <w:tc>
          <w:tcPr>
            <w:tcW w:w="4608" w:type="dxa"/>
          </w:tcPr>
          <w:p w14:paraId="45B9CE46" w14:textId="77777777" w:rsidR="00CD7837" w:rsidRDefault="00CD7837" w:rsidP="007D6A2F">
            <w:r w:rsidRPr="00AB07B1">
              <w:t>•The assessments and other evaluation materials shall</w:t>
            </w:r>
            <w:r>
              <w:t xml:space="preserve"> b</w:t>
            </w:r>
            <w:r w:rsidRPr="00AB07B1">
              <w:t>e selected and administered so as not to be racially or culturally discriminatory</w:t>
            </w:r>
          </w:p>
        </w:tc>
        <w:tc>
          <w:tcPr>
            <w:tcW w:w="1350" w:type="dxa"/>
          </w:tcPr>
          <w:p w14:paraId="042B34D7" w14:textId="77777777" w:rsidR="00CD7837" w:rsidRDefault="00CD7837" w:rsidP="007D6A2F"/>
        </w:tc>
        <w:tc>
          <w:tcPr>
            <w:tcW w:w="1350" w:type="dxa"/>
          </w:tcPr>
          <w:p w14:paraId="0896D4AE" w14:textId="77777777" w:rsidR="00CD7837" w:rsidRDefault="00CD7837" w:rsidP="007D6A2F"/>
        </w:tc>
        <w:tc>
          <w:tcPr>
            <w:tcW w:w="1530" w:type="dxa"/>
          </w:tcPr>
          <w:p w14:paraId="1D69D002" w14:textId="77777777" w:rsidR="00CD7837" w:rsidRDefault="00CD7837" w:rsidP="007D6A2F"/>
        </w:tc>
      </w:tr>
      <w:tr w:rsidR="00CD7837" w14:paraId="30081E67" w14:textId="77777777" w:rsidTr="007D6A2F">
        <w:tc>
          <w:tcPr>
            <w:tcW w:w="4608" w:type="dxa"/>
          </w:tcPr>
          <w:p w14:paraId="475FFF4C" w14:textId="77777777" w:rsidR="00CD7837" w:rsidRDefault="00CD7837" w:rsidP="007D6A2F">
            <w:r w:rsidRPr="00AB07B1">
              <w:t>•The assessments and other evaluation materials shall</w:t>
            </w:r>
            <w:r>
              <w:t xml:space="preserve"> b</w:t>
            </w:r>
            <w:r w:rsidRPr="00AB07B1">
              <w:t xml:space="preserve">e provided and administered in the child’s native language or other mode of communication and in the </w:t>
            </w:r>
            <w:r w:rsidRPr="00AB07B1">
              <w:lastRenderedPageBreak/>
              <w:t>form most likely to yield accurate information on what the child knows and can do academically, developmentally, and functionally</w:t>
            </w:r>
          </w:p>
        </w:tc>
        <w:tc>
          <w:tcPr>
            <w:tcW w:w="1350" w:type="dxa"/>
          </w:tcPr>
          <w:p w14:paraId="48D1EF6F" w14:textId="77777777" w:rsidR="00CD7837" w:rsidRDefault="00CD7837" w:rsidP="007D6A2F"/>
        </w:tc>
        <w:tc>
          <w:tcPr>
            <w:tcW w:w="1350" w:type="dxa"/>
          </w:tcPr>
          <w:p w14:paraId="38DB5396" w14:textId="77777777" w:rsidR="00CD7837" w:rsidRDefault="00CD7837" w:rsidP="007D6A2F"/>
        </w:tc>
        <w:tc>
          <w:tcPr>
            <w:tcW w:w="1530" w:type="dxa"/>
          </w:tcPr>
          <w:p w14:paraId="5122684C" w14:textId="77777777" w:rsidR="00CD7837" w:rsidRDefault="00CD7837" w:rsidP="007D6A2F"/>
        </w:tc>
      </w:tr>
      <w:tr w:rsidR="00CD7837" w14:paraId="4CF87C50" w14:textId="77777777" w:rsidTr="007D6A2F">
        <w:tc>
          <w:tcPr>
            <w:tcW w:w="4608" w:type="dxa"/>
          </w:tcPr>
          <w:p w14:paraId="42831362" w14:textId="77777777" w:rsidR="00CD7837" w:rsidRDefault="00CD7837" w:rsidP="007D6A2F">
            <w:r w:rsidRPr="00AB07B1">
              <w:t>•The assessments and other evaluation materials shall</w:t>
            </w:r>
            <w:r>
              <w:t xml:space="preserve"> b</w:t>
            </w:r>
            <w:r w:rsidRPr="00AB07B1">
              <w:t>e valid and reliable for the specific purpose for which they are used</w:t>
            </w:r>
          </w:p>
        </w:tc>
        <w:tc>
          <w:tcPr>
            <w:tcW w:w="1350" w:type="dxa"/>
          </w:tcPr>
          <w:p w14:paraId="398B78C2" w14:textId="77777777" w:rsidR="00CD7837" w:rsidRDefault="00CD7837" w:rsidP="007D6A2F"/>
        </w:tc>
        <w:tc>
          <w:tcPr>
            <w:tcW w:w="1350" w:type="dxa"/>
          </w:tcPr>
          <w:p w14:paraId="36A4825E" w14:textId="77777777" w:rsidR="00CD7837" w:rsidRDefault="00CD7837" w:rsidP="007D6A2F"/>
        </w:tc>
        <w:tc>
          <w:tcPr>
            <w:tcW w:w="1530" w:type="dxa"/>
          </w:tcPr>
          <w:p w14:paraId="602A2C75" w14:textId="77777777" w:rsidR="00CD7837" w:rsidRDefault="00CD7837" w:rsidP="007D6A2F"/>
        </w:tc>
      </w:tr>
      <w:tr w:rsidR="00CD7837" w14:paraId="0A72E0F2" w14:textId="77777777" w:rsidTr="007D6A2F">
        <w:tc>
          <w:tcPr>
            <w:tcW w:w="4608" w:type="dxa"/>
          </w:tcPr>
          <w:p w14:paraId="73C5F3E8" w14:textId="77777777" w:rsidR="00CD7837" w:rsidRDefault="00CD7837" w:rsidP="007D6A2F">
            <w:r w:rsidRPr="00AB07B1">
              <w:t>•The assessments and other evaluation materials shall</w:t>
            </w:r>
            <w:r>
              <w:t xml:space="preserve"> b</w:t>
            </w:r>
            <w:r w:rsidRPr="00AB07B1">
              <w:t>e administered by trained and knowledgeable personnel in accordance with instructions provided by the producer of such tests</w:t>
            </w:r>
          </w:p>
        </w:tc>
        <w:tc>
          <w:tcPr>
            <w:tcW w:w="1350" w:type="dxa"/>
          </w:tcPr>
          <w:p w14:paraId="0C2B0C3D" w14:textId="77777777" w:rsidR="00CD7837" w:rsidRDefault="00CD7837" w:rsidP="007D6A2F"/>
        </w:tc>
        <w:tc>
          <w:tcPr>
            <w:tcW w:w="1350" w:type="dxa"/>
          </w:tcPr>
          <w:p w14:paraId="6A812480" w14:textId="77777777" w:rsidR="00CD7837" w:rsidRDefault="00CD7837" w:rsidP="007D6A2F"/>
        </w:tc>
        <w:tc>
          <w:tcPr>
            <w:tcW w:w="1530" w:type="dxa"/>
          </w:tcPr>
          <w:p w14:paraId="77622002" w14:textId="77777777" w:rsidR="00CD7837" w:rsidRDefault="00CD7837" w:rsidP="007D6A2F"/>
        </w:tc>
      </w:tr>
      <w:tr w:rsidR="00CD7837" w14:paraId="0AC7EF77" w14:textId="77777777" w:rsidTr="007D6A2F">
        <w:tc>
          <w:tcPr>
            <w:tcW w:w="4608" w:type="dxa"/>
          </w:tcPr>
          <w:p w14:paraId="742C4CE6" w14:textId="77777777" w:rsidR="00CD7837" w:rsidRDefault="00CD7837" w:rsidP="007D6A2F">
            <w:r w:rsidRPr="00AB07B1">
              <w:t>•The assessments and other evaluation materials shall</w:t>
            </w:r>
            <w:r>
              <w:t xml:space="preserve"> i</w:t>
            </w:r>
            <w:r w:rsidRPr="00AB07B1">
              <w:t>nclude those that are tailored to assess specific areas of educational need and not merely those that are designed to provide a single general intelligence quotient</w:t>
            </w:r>
          </w:p>
        </w:tc>
        <w:tc>
          <w:tcPr>
            <w:tcW w:w="1350" w:type="dxa"/>
          </w:tcPr>
          <w:p w14:paraId="628EFB1B" w14:textId="77777777" w:rsidR="00CD7837" w:rsidRDefault="00CD7837" w:rsidP="007D6A2F"/>
        </w:tc>
        <w:tc>
          <w:tcPr>
            <w:tcW w:w="1350" w:type="dxa"/>
          </w:tcPr>
          <w:p w14:paraId="224415D9" w14:textId="77777777" w:rsidR="00CD7837" w:rsidRDefault="00CD7837" w:rsidP="007D6A2F"/>
        </w:tc>
        <w:tc>
          <w:tcPr>
            <w:tcW w:w="1530" w:type="dxa"/>
          </w:tcPr>
          <w:p w14:paraId="2906F3E9" w14:textId="77777777" w:rsidR="00CD7837" w:rsidRDefault="00CD7837" w:rsidP="007D6A2F"/>
        </w:tc>
      </w:tr>
      <w:tr w:rsidR="00CD7837" w14:paraId="45DFE7CB" w14:textId="77777777" w:rsidTr="007D6A2F">
        <w:tc>
          <w:tcPr>
            <w:tcW w:w="4608" w:type="dxa"/>
          </w:tcPr>
          <w:p w14:paraId="333A5616" w14:textId="77777777" w:rsidR="00CD7837" w:rsidRDefault="00CD7837" w:rsidP="007D6A2F">
            <w:r w:rsidRPr="00AB07B1">
              <w:t xml:space="preserve">•Assessments shall be selected and administered to ensure that if an assessment is administered to a child with impaired sensory, manual, or speaking skills, the results accurately reflect the child’s aptitude or achievement level or whatever other factors the assessment purports to measure, rather than reflecting the child’s impaired sensory, manual, or speaking skills, unless those skills are the factors the assessment purports to measure </w:t>
            </w:r>
          </w:p>
        </w:tc>
        <w:tc>
          <w:tcPr>
            <w:tcW w:w="1350" w:type="dxa"/>
          </w:tcPr>
          <w:p w14:paraId="60056A20" w14:textId="77777777" w:rsidR="00CD7837" w:rsidRDefault="00CD7837" w:rsidP="007D6A2F"/>
        </w:tc>
        <w:tc>
          <w:tcPr>
            <w:tcW w:w="1350" w:type="dxa"/>
          </w:tcPr>
          <w:p w14:paraId="4AC52930" w14:textId="77777777" w:rsidR="00CD7837" w:rsidRDefault="00CD7837" w:rsidP="007D6A2F"/>
        </w:tc>
        <w:tc>
          <w:tcPr>
            <w:tcW w:w="1530" w:type="dxa"/>
          </w:tcPr>
          <w:p w14:paraId="08C9EEEE" w14:textId="77777777" w:rsidR="00CD7837" w:rsidRDefault="00CD7837" w:rsidP="007D6A2F"/>
        </w:tc>
      </w:tr>
      <w:tr w:rsidR="00CD7837" w14:paraId="5C32AC66" w14:textId="77777777" w:rsidTr="007D6A2F">
        <w:tc>
          <w:tcPr>
            <w:tcW w:w="4608" w:type="dxa"/>
          </w:tcPr>
          <w:p w14:paraId="39CC2D97" w14:textId="77777777" w:rsidR="00CD7837" w:rsidRDefault="00CD7837" w:rsidP="007D6A2F">
            <w:r w:rsidRPr="00AB07B1">
              <w:t>•Materials and procedures used to assess a child with limited English proficiency shall be selected and administered to ensure that they measure the extent to which the child has an exceptionality and needs special education, rather than measuring the child’s English language skills</w:t>
            </w:r>
          </w:p>
        </w:tc>
        <w:tc>
          <w:tcPr>
            <w:tcW w:w="1350" w:type="dxa"/>
          </w:tcPr>
          <w:p w14:paraId="68FDC156" w14:textId="77777777" w:rsidR="00CD7837" w:rsidRDefault="00CD7837" w:rsidP="007D6A2F"/>
        </w:tc>
        <w:tc>
          <w:tcPr>
            <w:tcW w:w="1350" w:type="dxa"/>
          </w:tcPr>
          <w:p w14:paraId="69EEE505" w14:textId="77777777" w:rsidR="00CD7837" w:rsidRDefault="00CD7837" w:rsidP="007D6A2F"/>
        </w:tc>
        <w:tc>
          <w:tcPr>
            <w:tcW w:w="1530" w:type="dxa"/>
          </w:tcPr>
          <w:p w14:paraId="0CD4D66C" w14:textId="77777777" w:rsidR="00CD7837" w:rsidRDefault="00CD7837" w:rsidP="007D6A2F"/>
        </w:tc>
      </w:tr>
      <w:tr w:rsidR="00CD7837" w14:paraId="76452AE6" w14:textId="77777777" w:rsidTr="007D6A2F">
        <w:tc>
          <w:tcPr>
            <w:tcW w:w="4608" w:type="dxa"/>
          </w:tcPr>
          <w:p w14:paraId="1F0CA39E" w14:textId="77777777" w:rsidR="00CD7837" w:rsidRDefault="00CD7837" w:rsidP="007D6A2F">
            <w:r w:rsidRPr="00AB07B1">
              <w:t>•If an assessment is not conducted under standard conditions, a description of the extent to which the assessment varied from standard conditions shall be included in the evaluation report.</w:t>
            </w:r>
          </w:p>
        </w:tc>
        <w:tc>
          <w:tcPr>
            <w:tcW w:w="1350" w:type="dxa"/>
          </w:tcPr>
          <w:p w14:paraId="42EDA0B7" w14:textId="77777777" w:rsidR="00CD7837" w:rsidRDefault="00CD7837" w:rsidP="007D6A2F"/>
        </w:tc>
        <w:tc>
          <w:tcPr>
            <w:tcW w:w="1350" w:type="dxa"/>
          </w:tcPr>
          <w:p w14:paraId="313B6ECA" w14:textId="77777777" w:rsidR="00CD7837" w:rsidRDefault="00CD7837" w:rsidP="007D6A2F"/>
        </w:tc>
        <w:tc>
          <w:tcPr>
            <w:tcW w:w="1530" w:type="dxa"/>
          </w:tcPr>
          <w:p w14:paraId="5015FAD9" w14:textId="77777777" w:rsidR="00CD7837" w:rsidRDefault="00CD7837" w:rsidP="007D6A2F"/>
        </w:tc>
      </w:tr>
    </w:tbl>
    <w:p w14:paraId="63604F37" w14:textId="77777777" w:rsidR="00CD7837" w:rsidRDefault="00CD7837" w:rsidP="0000185D">
      <w:pPr>
        <w:spacing w:before="100" w:beforeAutospacing="1" w:after="100" w:afterAutospacing="1"/>
        <w:rPr>
          <w:rFonts w:ascii="Cambria" w:eastAsia="Times New Roman" w:hAnsi="Cambria" w:cstheme="minorHAnsi"/>
          <w:b/>
          <w:bCs/>
        </w:rPr>
      </w:pPr>
    </w:p>
    <w:p w14:paraId="17FFB988" w14:textId="523BB2C4" w:rsidR="006C40DB" w:rsidRPr="008A10C0" w:rsidRDefault="006C40DB">
      <w:pPr>
        <w:rPr>
          <w:rFonts w:ascii="Cambria" w:hAnsi="Cambria" w:cstheme="minorHAnsi"/>
        </w:rPr>
      </w:pPr>
    </w:p>
    <w:p w14:paraId="077C7C43" w14:textId="10A94959" w:rsidR="00A64264" w:rsidRPr="008A10C0" w:rsidRDefault="006C40DB" w:rsidP="006C40DB">
      <w:pPr>
        <w:jc w:val="center"/>
        <w:rPr>
          <w:rFonts w:ascii="Cambria" w:hAnsi="Cambria" w:cstheme="minorHAnsi"/>
          <w:b/>
          <w:bCs/>
        </w:rPr>
      </w:pPr>
      <w:r w:rsidRPr="008A10C0">
        <w:rPr>
          <w:rFonts w:ascii="Cambria" w:hAnsi="Cambria" w:cstheme="minorHAnsi"/>
          <w:b/>
          <w:bCs/>
        </w:rPr>
        <w:t>References</w:t>
      </w:r>
    </w:p>
    <w:p w14:paraId="496F939A" w14:textId="587E6498" w:rsidR="006C40DB" w:rsidRPr="008A10C0" w:rsidRDefault="006C40DB" w:rsidP="006C40DB">
      <w:pPr>
        <w:rPr>
          <w:rFonts w:ascii="Cambria" w:hAnsi="Cambria" w:cstheme="minorHAnsi"/>
        </w:rPr>
      </w:pPr>
    </w:p>
    <w:p w14:paraId="6F3A0FF1" w14:textId="1DEA236F" w:rsidR="006C40DB" w:rsidRPr="008A10C0" w:rsidRDefault="006C40DB" w:rsidP="006C40DB">
      <w:pPr>
        <w:rPr>
          <w:rFonts w:ascii="Cambria" w:hAnsi="Cambria" w:cstheme="minorHAnsi"/>
        </w:rPr>
      </w:pPr>
      <w:r w:rsidRPr="006C40DB">
        <w:rPr>
          <w:rFonts w:ascii="Cambria" w:hAnsi="Cambria" w:cstheme="minorHAnsi"/>
        </w:rPr>
        <w:t>Figueroa, Richard and Newsome, Patricia (2006)</w:t>
      </w:r>
      <w:r w:rsidRPr="008A10C0">
        <w:rPr>
          <w:rFonts w:ascii="Cambria" w:hAnsi="Cambria" w:cstheme="minorHAnsi"/>
        </w:rPr>
        <w:t xml:space="preserve">. </w:t>
      </w:r>
      <w:r w:rsidRPr="006C40DB">
        <w:rPr>
          <w:rFonts w:ascii="Cambria" w:hAnsi="Cambria" w:cstheme="minorHAnsi"/>
        </w:rPr>
        <w:t xml:space="preserve"> Journal of Learning Disabilities. May-Jun 2006;39(3):206-14.</w:t>
      </w:r>
    </w:p>
    <w:p w14:paraId="67BC009C" w14:textId="77777777" w:rsidR="006C40DB" w:rsidRPr="008A10C0" w:rsidRDefault="006C40DB" w:rsidP="006C40DB">
      <w:pPr>
        <w:rPr>
          <w:rFonts w:ascii="Cambria" w:hAnsi="Cambria" w:cstheme="minorHAnsi"/>
        </w:rPr>
      </w:pPr>
    </w:p>
    <w:p w14:paraId="00D9B4F3" w14:textId="32704F1E" w:rsidR="006C40DB" w:rsidRPr="006C40DB" w:rsidRDefault="006C40DB" w:rsidP="006C40DB">
      <w:pPr>
        <w:rPr>
          <w:rFonts w:ascii="Cambria" w:hAnsi="Cambria" w:cstheme="minorHAnsi"/>
        </w:rPr>
      </w:pPr>
      <w:r w:rsidRPr="006C40DB">
        <w:rPr>
          <w:rFonts w:ascii="Cambria" w:hAnsi="Cambria" w:cstheme="minorHAnsi"/>
        </w:rPr>
        <w:t xml:space="preserve">Ortiz, S. O. (2014). Best practices in nondiscriminatory assessment. In P. Harrison &amp; A. Thomas (Eds.) </w:t>
      </w:r>
      <w:r w:rsidRPr="006C40DB">
        <w:rPr>
          <w:rFonts w:ascii="Cambria" w:hAnsi="Cambria" w:cstheme="minorHAnsi"/>
          <w:i/>
          <w:iCs/>
        </w:rPr>
        <w:t xml:space="preserve">Best practices in school psychology: Foundations (61-74).  </w:t>
      </w:r>
      <w:r w:rsidRPr="006C40DB">
        <w:rPr>
          <w:rFonts w:ascii="Cambria" w:hAnsi="Cambria" w:cstheme="minorHAnsi"/>
        </w:rPr>
        <w:t xml:space="preserve">Washington, DC: National Association of School Psychologists. </w:t>
      </w:r>
    </w:p>
    <w:p w14:paraId="6907DFEB" w14:textId="77777777" w:rsidR="006C40DB" w:rsidRPr="008A10C0" w:rsidRDefault="006C40DB" w:rsidP="006C40DB">
      <w:pPr>
        <w:rPr>
          <w:rFonts w:ascii="Cambria" w:hAnsi="Cambria" w:cstheme="minorHAnsi"/>
        </w:rPr>
      </w:pPr>
    </w:p>
    <w:p w14:paraId="3AFF6C53" w14:textId="7785F4A9" w:rsidR="006C40DB" w:rsidRPr="006C40DB" w:rsidRDefault="006C40DB" w:rsidP="006C40DB">
      <w:pPr>
        <w:rPr>
          <w:rFonts w:ascii="Cambria" w:hAnsi="Cambria" w:cstheme="minorHAnsi"/>
        </w:rPr>
      </w:pPr>
      <w:r w:rsidRPr="006C40DB">
        <w:rPr>
          <w:rFonts w:ascii="Cambria" w:hAnsi="Cambria" w:cstheme="minorHAnsi"/>
        </w:rPr>
        <w:t>Villegas-Gutierrez, M. (2015). Special education assessment process for Culturally and Linguistically Diverse (CLD) Students, 2015 Update. Monmouth, OR: Education Evaluation Center, Teaching Research Institute, Western Oregon University.</w:t>
      </w:r>
    </w:p>
    <w:p w14:paraId="3A5E2D9F" w14:textId="77777777" w:rsidR="006C40DB" w:rsidRPr="006C40DB" w:rsidRDefault="006C40DB" w:rsidP="006C40DB">
      <w:pPr>
        <w:rPr>
          <w:rFonts w:ascii="Cambria" w:hAnsi="Cambria" w:cstheme="minorHAnsi"/>
        </w:rPr>
      </w:pPr>
    </w:p>
    <w:p w14:paraId="03E5F968" w14:textId="5DC1E754" w:rsidR="006C40DB" w:rsidRDefault="006C40DB" w:rsidP="006C40DB">
      <w:pPr>
        <w:rPr>
          <w:rFonts w:ascii="Cambria" w:hAnsi="Cambria" w:cstheme="minorHAnsi"/>
        </w:rPr>
      </w:pPr>
    </w:p>
    <w:p w14:paraId="72D465EB" w14:textId="4511D4AA" w:rsidR="004B5CBC" w:rsidRPr="008A10C0" w:rsidRDefault="004B5CBC" w:rsidP="006C40DB">
      <w:pPr>
        <w:rPr>
          <w:rFonts w:ascii="Cambria" w:hAnsi="Cambria" w:cstheme="minorHAnsi"/>
        </w:rPr>
      </w:pPr>
      <w:r w:rsidRPr="004B5CBC">
        <w:rPr>
          <w:rFonts w:ascii="Cambria" w:hAnsi="Cambria" w:cstheme="minorHAnsi"/>
          <w:b/>
          <w:bCs/>
        </w:rPr>
        <w:t>Note:</w:t>
      </w:r>
      <w:r>
        <w:rPr>
          <w:rFonts w:ascii="Cambria" w:hAnsi="Cambria" w:cstheme="minorHAnsi"/>
        </w:rPr>
        <w:t xml:space="preserve">  Thank you to the school psychologists who provided examples of </w:t>
      </w:r>
      <w:r w:rsidR="00061D1B">
        <w:rPr>
          <w:rFonts w:ascii="Cambria" w:hAnsi="Cambria" w:cstheme="minorHAnsi"/>
        </w:rPr>
        <w:t xml:space="preserve">descriptions of </w:t>
      </w:r>
      <w:r>
        <w:rPr>
          <w:rFonts w:ascii="Cambria" w:hAnsi="Cambria" w:cstheme="minorHAnsi"/>
        </w:rPr>
        <w:t xml:space="preserve">LEP evaluation </w:t>
      </w:r>
      <w:r w:rsidR="00061D1B">
        <w:rPr>
          <w:rFonts w:ascii="Cambria" w:hAnsi="Cambria" w:cstheme="minorHAnsi"/>
        </w:rPr>
        <w:t>procedures</w:t>
      </w:r>
      <w:r>
        <w:rPr>
          <w:rFonts w:ascii="Cambria" w:hAnsi="Cambria" w:cstheme="minorHAnsi"/>
        </w:rPr>
        <w:t>.</w:t>
      </w:r>
    </w:p>
    <w:sectPr w:rsidR="004B5CBC" w:rsidRPr="008A10C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F2FB0" w14:textId="77777777" w:rsidR="00B062BA" w:rsidRDefault="00B062BA" w:rsidP="00793DE6">
      <w:r>
        <w:separator/>
      </w:r>
    </w:p>
  </w:endnote>
  <w:endnote w:type="continuationSeparator" w:id="0">
    <w:p w14:paraId="5ADDDB61" w14:textId="77777777" w:rsidR="00B062BA" w:rsidRDefault="00B062BA" w:rsidP="0079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9264721"/>
      <w:docPartObj>
        <w:docPartGallery w:val="Page Numbers (Bottom of Page)"/>
        <w:docPartUnique/>
      </w:docPartObj>
    </w:sdtPr>
    <w:sdtEndPr>
      <w:rPr>
        <w:rStyle w:val="PageNumber"/>
      </w:rPr>
    </w:sdtEndPr>
    <w:sdtContent>
      <w:p w14:paraId="25880070" w14:textId="36019D08" w:rsidR="00793DE6" w:rsidRDefault="00793DE6" w:rsidP="00A61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B3531B" w14:textId="77777777" w:rsidR="00793DE6" w:rsidRDefault="00793DE6" w:rsidP="00793D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30051"/>
      <w:docPartObj>
        <w:docPartGallery w:val="Page Numbers (Bottom of Page)"/>
        <w:docPartUnique/>
      </w:docPartObj>
    </w:sdtPr>
    <w:sdtEndPr>
      <w:rPr>
        <w:rStyle w:val="PageNumber"/>
      </w:rPr>
    </w:sdtEndPr>
    <w:sdtContent>
      <w:p w14:paraId="62966248" w14:textId="537FE580" w:rsidR="00793DE6" w:rsidRDefault="00793DE6" w:rsidP="00A61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58C550" w14:textId="77777777" w:rsidR="00793DE6" w:rsidRDefault="00793DE6" w:rsidP="00793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70A4" w14:textId="77777777" w:rsidR="00B062BA" w:rsidRDefault="00B062BA" w:rsidP="00793DE6">
      <w:r>
        <w:separator/>
      </w:r>
    </w:p>
  </w:footnote>
  <w:footnote w:type="continuationSeparator" w:id="0">
    <w:p w14:paraId="428434FC" w14:textId="77777777" w:rsidR="00B062BA" w:rsidRDefault="00B062BA" w:rsidP="00793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A92"/>
    <w:multiLevelType w:val="multilevel"/>
    <w:tmpl w:val="668686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A171F3"/>
    <w:multiLevelType w:val="hybridMultilevel"/>
    <w:tmpl w:val="922E7552"/>
    <w:lvl w:ilvl="0" w:tplc="5CDE3FE4">
      <w:start w:val="1"/>
      <w:numFmt w:val="bullet"/>
      <w:lvlText w:val="•"/>
      <w:lvlJc w:val="left"/>
      <w:pPr>
        <w:tabs>
          <w:tab w:val="num" w:pos="720"/>
        </w:tabs>
        <w:ind w:left="720" w:hanging="360"/>
      </w:pPr>
      <w:rPr>
        <w:rFonts w:ascii="Arial" w:hAnsi="Arial" w:hint="default"/>
      </w:rPr>
    </w:lvl>
    <w:lvl w:ilvl="1" w:tplc="978668F6">
      <w:numFmt w:val="bullet"/>
      <w:lvlText w:val="–"/>
      <w:lvlJc w:val="left"/>
      <w:pPr>
        <w:tabs>
          <w:tab w:val="num" w:pos="1440"/>
        </w:tabs>
        <w:ind w:left="1440" w:hanging="360"/>
      </w:pPr>
      <w:rPr>
        <w:rFonts w:ascii="Arial" w:hAnsi="Arial" w:hint="default"/>
      </w:rPr>
    </w:lvl>
    <w:lvl w:ilvl="2" w:tplc="413E698C" w:tentative="1">
      <w:start w:val="1"/>
      <w:numFmt w:val="bullet"/>
      <w:lvlText w:val="•"/>
      <w:lvlJc w:val="left"/>
      <w:pPr>
        <w:tabs>
          <w:tab w:val="num" w:pos="2160"/>
        </w:tabs>
        <w:ind w:left="2160" w:hanging="360"/>
      </w:pPr>
      <w:rPr>
        <w:rFonts w:ascii="Arial" w:hAnsi="Arial" w:hint="default"/>
      </w:rPr>
    </w:lvl>
    <w:lvl w:ilvl="3" w:tplc="7B781DCE" w:tentative="1">
      <w:start w:val="1"/>
      <w:numFmt w:val="bullet"/>
      <w:lvlText w:val="•"/>
      <w:lvlJc w:val="left"/>
      <w:pPr>
        <w:tabs>
          <w:tab w:val="num" w:pos="2880"/>
        </w:tabs>
        <w:ind w:left="2880" w:hanging="360"/>
      </w:pPr>
      <w:rPr>
        <w:rFonts w:ascii="Arial" w:hAnsi="Arial" w:hint="default"/>
      </w:rPr>
    </w:lvl>
    <w:lvl w:ilvl="4" w:tplc="CCB48AD0" w:tentative="1">
      <w:start w:val="1"/>
      <w:numFmt w:val="bullet"/>
      <w:lvlText w:val="•"/>
      <w:lvlJc w:val="left"/>
      <w:pPr>
        <w:tabs>
          <w:tab w:val="num" w:pos="3600"/>
        </w:tabs>
        <w:ind w:left="3600" w:hanging="360"/>
      </w:pPr>
      <w:rPr>
        <w:rFonts w:ascii="Arial" w:hAnsi="Arial" w:hint="default"/>
      </w:rPr>
    </w:lvl>
    <w:lvl w:ilvl="5" w:tplc="D0CA79A2" w:tentative="1">
      <w:start w:val="1"/>
      <w:numFmt w:val="bullet"/>
      <w:lvlText w:val="•"/>
      <w:lvlJc w:val="left"/>
      <w:pPr>
        <w:tabs>
          <w:tab w:val="num" w:pos="4320"/>
        </w:tabs>
        <w:ind w:left="4320" w:hanging="360"/>
      </w:pPr>
      <w:rPr>
        <w:rFonts w:ascii="Arial" w:hAnsi="Arial" w:hint="default"/>
      </w:rPr>
    </w:lvl>
    <w:lvl w:ilvl="6" w:tplc="97181A8A" w:tentative="1">
      <w:start w:val="1"/>
      <w:numFmt w:val="bullet"/>
      <w:lvlText w:val="•"/>
      <w:lvlJc w:val="left"/>
      <w:pPr>
        <w:tabs>
          <w:tab w:val="num" w:pos="5040"/>
        </w:tabs>
        <w:ind w:left="5040" w:hanging="360"/>
      </w:pPr>
      <w:rPr>
        <w:rFonts w:ascii="Arial" w:hAnsi="Arial" w:hint="default"/>
      </w:rPr>
    </w:lvl>
    <w:lvl w:ilvl="7" w:tplc="952C2B6E" w:tentative="1">
      <w:start w:val="1"/>
      <w:numFmt w:val="bullet"/>
      <w:lvlText w:val="•"/>
      <w:lvlJc w:val="left"/>
      <w:pPr>
        <w:tabs>
          <w:tab w:val="num" w:pos="5760"/>
        </w:tabs>
        <w:ind w:left="5760" w:hanging="360"/>
      </w:pPr>
      <w:rPr>
        <w:rFonts w:ascii="Arial" w:hAnsi="Arial" w:hint="default"/>
      </w:rPr>
    </w:lvl>
    <w:lvl w:ilvl="8" w:tplc="785855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A268AB"/>
    <w:multiLevelType w:val="hybridMultilevel"/>
    <w:tmpl w:val="7FD814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5DE4B00"/>
    <w:multiLevelType w:val="hybridMultilevel"/>
    <w:tmpl w:val="FF9A5B14"/>
    <w:lvl w:ilvl="0" w:tplc="7D6E7428">
      <w:start w:val="1"/>
      <w:numFmt w:val="bullet"/>
      <w:lvlText w:val="•"/>
      <w:lvlJc w:val="left"/>
      <w:pPr>
        <w:tabs>
          <w:tab w:val="num" w:pos="720"/>
        </w:tabs>
        <w:ind w:left="720" w:hanging="360"/>
      </w:pPr>
      <w:rPr>
        <w:rFonts w:ascii="Arial" w:hAnsi="Arial" w:hint="default"/>
      </w:rPr>
    </w:lvl>
    <w:lvl w:ilvl="1" w:tplc="B3D45D14" w:tentative="1">
      <w:start w:val="1"/>
      <w:numFmt w:val="bullet"/>
      <w:lvlText w:val="•"/>
      <w:lvlJc w:val="left"/>
      <w:pPr>
        <w:tabs>
          <w:tab w:val="num" w:pos="1440"/>
        </w:tabs>
        <w:ind w:left="1440" w:hanging="360"/>
      </w:pPr>
      <w:rPr>
        <w:rFonts w:ascii="Arial" w:hAnsi="Arial" w:hint="default"/>
      </w:rPr>
    </w:lvl>
    <w:lvl w:ilvl="2" w:tplc="4CDE4D1A" w:tentative="1">
      <w:start w:val="1"/>
      <w:numFmt w:val="bullet"/>
      <w:lvlText w:val="•"/>
      <w:lvlJc w:val="left"/>
      <w:pPr>
        <w:tabs>
          <w:tab w:val="num" w:pos="2160"/>
        </w:tabs>
        <w:ind w:left="2160" w:hanging="360"/>
      </w:pPr>
      <w:rPr>
        <w:rFonts w:ascii="Arial" w:hAnsi="Arial" w:hint="default"/>
      </w:rPr>
    </w:lvl>
    <w:lvl w:ilvl="3" w:tplc="2E92FF3A" w:tentative="1">
      <w:start w:val="1"/>
      <w:numFmt w:val="bullet"/>
      <w:lvlText w:val="•"/>
      <w:lvlJc w:val="left"/>
      <w:pPr>
        <w:tabs>
          <w:tab w:val="num" w:pos="2880"/>
        </w:tabs>
        <w:ind w:left="2880" w:hanging="360"/>
      </w:pPr>
      <w:rPr>
        <w:rFonts w:ascii="Arial" w:hAnsi="Arial" w:hint="default"/>
      </w:rPr>
    </w:lvl>
    <w:lvl w:ilvl="4" w:tplc="0C429904" w:tentative="1">
      <w:start w:val="1"/>
      <w:numFmt w:val="bullet"/>
      <w:lvlText w:val="•"/>
      <w:lvlJc w:val="left"/>
      <w:pPr>
        <w:tabs>
          <w:tab w:val="num" w:pos="3600"/>
        </w:tabs>
        <w:ind w:left="3600" w:hanging="360"/>
      </w:pPr>
      <w:rPr>
        <w:rFonts w:ascii="Arial" w:hAnsi="Arial" w:hint="default"/>
      </w:rPr>
    </w:lvl>
    <w:lvl w:ilvl="5" w:tplc="D9DC5554" w:tentative="1">
      <w:start w:val="1"/>
      <w:numFmt w:val="bullet"/>
      <w:lvlText w:val="•"/>
      <w:lvlJc w:val="left"/>
      <w:pPr>
        <w:tabs>
          <w:tab w:val="num" w:pos="4320"/>
        </w:tabs>
        <w:ind w:left="4320" w:hanging="360"/>
      </w:pPr>
      <w:rPr>
        <w:rFonts w:ascii="Arial" w:hAnsi="Arial" w:hint="default"/>
      </w:rPr>
    </w:lvl>
    <w:lvl w:ilvl="6" w:tplc="12A0DF10" w:tentative="1">
      <w:start w:val="1"/>
      <w:numFmt w:val="bullet"/>
      <w:lvlText w:val="•"/>
      <w:lvlJc w:val="left"/>
      <w:pPr>
        <w:tabs>
          <w:tab w:val="num" w:pos="5040"/>
        </w:tabs>
        <w:ind w:left="5040" w:hanging="360"/>
      </w:pPr>
      <w:rPr>
        <w:rFonts w:ascii="Arial" w:hAnsi="Arial" w:hint="default"/>
      </w:rPr>
    </w:lvl>
    <w:lvl w:ilvl="7" w:tplc="099ACA1C" w:tentative="1">
      <w:start w:val="1"/>
      <w:numFmt w:val="bullet"/>
      <w:lvlText w:val="•"/>
      <w:lvlJc w:val="left"/>
      <w:pPr>
        <w:tabs>
          <w:tab w:val="num" w:pos="5760"/>
        </w:tabs>
        <w:ind w:left="5760" w:hanging="360"/>
      </w:pPr>
      <w:rPr>
        <w:rFonts w:ascii="Arial" w:hAnsi="Arial" w:hint="default"/>
      </w:rPr>
    </w:lvl>
    <w:lvl w:ilvl="8" w:tplc="0AE69380" w:tentative="1">
      <w:start w:val="1"/>
      <w:numFmt w:val="bullet"/>
      <w:lvlText w:val="•"/>
      <w:lvlJc w:val="left"/>
      <w:pPr>
        <w:tabs>
          <w:tab w:val="num" w:pos="6480"/>
        </w:tabs>
        <w:ind w:left="6480" w:hanging="360"/>
      </w:pPr>
      <w:rPr>
        <w:rFonts w:ascii="Arial" w:hAnsi="Arial" w:hint="default"/>
      </w:rPr>
    </w:lvl>
  </w:abstractNum>
  <w:num w:numId="1" w16cid:durableId="1470592701">
    <w:abstractNumId w:val="0"/>
  </w:num>
  <w:num w:numId="2" w16cid:durableId="1264800148">
    <w:abstractNumId w:val="1"/>
  </w:num>
  <w:num w:numId="3" w16cid:durableId="662510918">
    <w:abstractNumId w:val="3"/>
  </w:num>
  <w:num w:numId="4" w16cid:durableId="1669867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4F"/>
    <w:rsid w:val="0000185D"/>
    <w:rsid w:val="00003BE0"/>
    <w:rsid w:val="00057E82"/>
    <w:rsid w:val="00061D1B"/>
    <w:rsid w:val="00202B9B"/>
    <w:rsid w:val="00326921"/>
    <w:rsid w:val="004B5CBC"/>
    <w:rsid w:val="005135DF"/>
    <w:rsid w:val="00537DF0"/>
    <w:rsid w:val="00590A36"/>
    <w:rsid w:val="006A6A4F"/>
    <w:rsid w:val="006C40DB"/>
    <w:rsid w:val="00793DE6"/>
    <w:rsid w:val="007D0969"/>
    <w:rsid w:val="008803E5"/>
    <w:rsid w:val="00881FB0"/>
    <w:rsid w:val="008A10C0"/>
    <w:rsid w:val="008A54D8"/>
    <w:rsid w:val="00A01201"/>
    <w:rsid w:val="00A64264"/>
    <w:rsid w:val="00AC6318"/>
    <w:rsid w:val="00B062BA"/>
    <w:rsid w:val="00B413E0"/>
    <w:rsid w:val="00B50F75"/>
    <w:rsid w:val="00CD7837"/>
    <w:rsid w:val="00D00AA6"/>
    <w:rsid w:val="00D21431"/>
    <w:rsid w:val="00E6737F"/>
    <w:rsid w:val="00EE44C3"/>
    <w:rsid w:val="00F200DC"/>
    <w:rsid w:val="00FF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238F9"/>
  <w15:chartTrackingRefBased/>
  <w15:docId w15:val="{D74C6DE9-5B76-F441-AA79-746F9D3E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F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93DE6"/>
    <w:pPr>
      <w:tabs>
        <w:tab w:val="center" w:pos="4680"/>
        <w:tab w:val="right" w:pos="9360"/>
      </w:tabs>
    </w:pPr>
  </w:style>
  <w:style w:type="character" w:customStyle="1" w:styleId="FooterChar">
    <w:name w:val="Footer Char"/>
    <w:basedOn w:val="DefaultParagraphFont"/>
    <w:link w:val="Footer"/>
    <w:uiPriority w:val="99"/>
    <w:rsid w:val="00793DE6"/>
  </w:style>
  <w:style w:type="character" w:styleId="PageNumber">
    <w:name w:val="page number"/>
    <w:basedOn w:val="DefaultParagraphFont"/>
    <w:uiPriority w:val="99"/>
    <w:semiHidden/>
    <w:unhideWhenUsed/>
    <w:rsid w:val="0079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8488">
      <w:bodyDiv w:val="1"/>
      <w:marLeft w:val="0"/>
      <w:marRight w:val="0"/>
      <w:marTop w:val="0"/>
      <w:marBottom w:val="0"/>
      <w:divBdr>
        <w:top w:val="none" w:sz="0" w:space="0" w:color="auto"/>
        <w:left w:val="none" w:sz="0" w:space="0" w:color="auto"/>
        <w:bottom w:val="none" w:sz="0" w:space="0" w:color="auto"/>
        <w:right w:val="none" w:sz="0" w:space="0" w:color="auto"/>
      </w:divBdr>
      <w:divsChild>
        <w:div w:id="1511144719">
          <w:marLeft w:val="302"/>
          <w:marRight w:val="0"/>
          <w:marTop w:val="115"/>
          <w:marBottom w:val="0"/>
          <w:divBdr>
            <w:top w:val="none" w:sz="0" w:space="0" w:color="auto"/>
            <w:left w:val="none" w:sz="0" w:space="0" w:color="auto"/>
            <w:bottom w:val="none" w:sz="0" w:space="0" w:color="auto"/>
            <w:right w:val="none" w:sz="0" w:space="0" w:color="auto"/>
          </w:divBdr>
        </w:div>
        <w:div w:id="334386805">
          <w:marLeft w:val="302"/>
          <w:marRight w:val="0"/>
          <w:marTop w:val="115"/>
          <w:marBottom w:val="0"/>
          <w:divBdr>
            <w:top w:val="none" w:sz="0" w:space="0" w:color="auto"/>
            <w:left w:val="none" w:sz="0" w:space="0" w:color="auto"/>
            <w:bottom w:val="none" w:sz="0" w:space="0" w:color="auto"/>
            <w:right w:val="none" w:sz="0" w:space="0" w:color="auto"/>
          </w:divBdr>
        </w:div>
        <w:div w:id="789325948">
          <w:marLeft w:val="302"/>
          <w:marRight w:val="0"/>
          <w:marTop w:val="115"/>
          <w:marBottom w:val="0"/>
          <w:divBdr>
            <w:top w:val="none" w:sz="0" w:space="0" w:color="auto"/>
            <w:left w:val="none" w:sz="0" w:space="0" w:color="auto"/>
            <w:bottom w:val="none" w:sz="0" w:space="0" w:color="auto"/>
            <w:right w:val="none" w:sz="0" w:space="0" w:color="auto"/>
          </w:divBdr>
        </w:div>
        <w:div w:id="1585992018">
          <w:marLeft w:val="302"/>
          <w:marRight w:val="0"/>
          <w:marTop w:val="115"/>
          <w:marBottom w:val="0"/>
          <w:divBdr>
            <w:top w:val="none" w:sz="0" w:space="0" w:color="auto"/>
            <w:left w:val="none" w:sz="0" w:space="0" w:color="auto"/>
            <w:bottom w:val="none" w:sz="0" w:space="0" w:color="auto"/>
            <w:right w:val="none" w:sz="0" w:space="0" w:color="auto"/>
          </w:divBdr>
        </w:div>
        <w:div w:id="416175635">
          <w:marLeft w:val="302"/>
          <w:marRight w:val="0"/>
          <w:marTop w:val="115"/>
          <w:marBottom w:val="0"/>
          <w:divBdr>
            <w:top w:val="none" w:sz="0" w:space="0" w:color="auto"/>
            <w:left w:val="none" w:sz="0" w:space="0" w:color="auto"/>
            <w:bottom w:val="none" w:sz="0" w:space="0" w:color="auto"/>
            <w:right w:val="none" w:sz="0" w:space="0" w:color="auto"/>
          </w:divBdr>
        </w:div>
        <w:div w:id="9568621">
          <w:marLeft w:val="662"/>
          <w:marRight w:val="0"/>
          <w:marTop w:val="106"/>
          <w:marBottom w:val="0"/>
          <w:divBdr>
            <w:top w:val="none" w:sz="0" w:space="0" w:color="auto"/>
            <w:left w:val="none" w:sz="0" w:space="0" w:color="auto"/>
            <w:bottom w:val="none" w:sz="0" w:space="0" w:color="auto"/>
            <w:right w:val="none" w:sz="0" w:space="0" w:color="auto"/>
          </w:divBdr>
        </w:div>
        <w:div w:id="119612962">
          <w:marLeft w:val="662"/>
          <w:marRight w:val="0"/>
          <w:marTop w:val="106"/>
          <w:marBottom w:val="0"/>
          <w:divBdr>
            <w:top w:val="none" w:sz="0" w:space="0" w:color="auto"/>
            <w:left w:val="none" w:sz="0" w:space="0" w:color="auto"/>
            <w:bottom w:val="none" w:sz="0" w:space="0" w:color="auto"/>
            <w:right w:val="none" w:sz="0" w:space="0" w:color="auto"/>
          </w:divBdr>
        </w:div>
        <w:div w:id="975640877">
          <w:marLeft w:val="302"/>
          <w:marRight w:val="0"/>
          <w:marTop w:val="115"/>
          <w:marBottom w:val="0"/>
          <w:divBdr>
            <w:top w:val="none" w:sz="0" w:space="0" w:color="auto"/>
            <w:left w:val="none" w:sz="0" w:space="0" w:color="auto"/>
            <w:bottom w:val="none" w:sz="0" w:space="0" w:color="auto"/>
            <w:right w:val="none" w:sz="0" w:space="0" w:color="auto"/>
          </w:divBdr>
        </w:div>
        <w:div w:id="611087104">
          <w:marLeft w:val="302"/>
          <w:marRight w:val="0"/>
          <w:marTop w:val="115"/>
          <w:marBottom w:val="0"/>
          <w:divBdr>
            <w:top w:val="none" w:sz="0" w:space="0" w:color="auto"/>
            <w:left w:val="none" w:sz="0" w:space="0" w:color="auto"/>
            <w:bottom w:val="none" w:sz="0" w:space="0" w:color="auto"/>
            <w:right w:val="none" w:sz="0" w:space="0" w:color="auto"/>
          </w:divBdr>
        </w:div>
      </w:divsChild>
    </w:div>
    <w:div w:id="98569940">
      <w:bodyDiv w:val="1"/>
      <w:marLeft w:val="0"/>
      <w:marRight w:val="0"/>
      <w:marTop w:val="0"/>
      <w:marBottom w:val="0"/>
      <w:divBdr>
        <w:top w:val="none" w:sz="0" w:space="0" w:color="auto"/>
        <w:left w:val="none" w:sz="0" w:space="0" w:color="auto"/>
        <w:bottom w:val="none" w:sz="0" w:space="0" w:color="auto"/>
        <w:right w:val="none" w:sz="0" w:space="0" w:color="auto"/>
      </w:divBdr>
      <w:divsChild>
        <w:div w:id="1291395811">
          <w:marLeft w:val="302"/>
          <w:marRight w:val="0"/>
          <w:marTop w:val="106"/>
          <w:marBottom w:val="0"/>
          <w:divBdr>
            <w:top w:val="none" w:sz="0" w:space="0" w:color="auto"/>
            <w:left w:val="none" w:sz="0" w:space="0" w:color="auto"/>
            <w:bottom w:val="none" w:sz="0" w:space="0" w:color="auto"/>
            <w:right w:val="none" w:sz="0" w:space="0" w:color="auto"/>
          </w:divBdr>
        </w:div>
        <w:div w:id="781386324">
          <w:marLeft w:val="302"/>
          <w:marRight w:val="0"/>
          <w:marTop w:val="106"/>
          <w:marBottom w:val="0"/>
          <w:divBdr>
            <w:top w:val="none" w:sz="0" w:space="0" w:color="auto"/>
            <w:left w:val="none" w:sz="0" w:space="0" w:color="auto"/>
            <w:bottom w:val="none" w:sz="0" w:space="0" w:color="auto"/>
            <w:right w:val="none" w:sz="0" w:space="0" w:color="auto"/>
          </w:divBdr>
        </w:div>
        <w:div w:id="515384056">
          <w:marLeft w:val="302"/>
          <w:marRight w:val="0"/>
          <w:marTop w:val="106"/>
          <w:marBottom w:val="0"/>
          <w:divBdr>
            <w:top w:val="none" w:sz="0" w:space="0" w:color="auto"/>
            <w:left w:val="none" w:sz="0" w:space="0" w:color="auto"/>
            <w:bottom w:val="none" w:sz="0" w:space="0" w:color="auto"/>
            <w:right w:val="none" w:sz="0" w:space="0" w:color="auto"/>
          </w:divBdr>
        </w:div>
        <w:div w:id="177274961">
          <w:marLeft w:val="302"/>
          <w:marRight w:val="0"/>
          <w:marTop w:val="106"/>
          <w:marBottom w:val="0"/>
          <w:divBdr>
            <w:top w:val="none" w:sz="0" w:space="0" w:color="auto"/>
            <w:left w:val="none" w:sz="0" w:space="0" w:color="auto"/>
            <w:bottom w:val="none" w:sz="0" w:space="0" w:color="auto"/>
            <w:right w:val="none" w:sz="0" w:space="0" w:color="auto"/>
          </w:divBdr>
        </w:div>
        <w:div w:id="1771507728">
          <w:marLeft w:val="302"/>
          <w:marRight w:val="0"/>
          <w:marTop w:val="106"/>
          <w:marBottom w:val="0"/>
          <w:divBdr>
            <w:top w:val="none" w:sz="0" w:space="0" w:color="auto"/>
            <w:left w:val="none" w:sz="0" w:space="0" w:color="auto"/>
            <w:bottom w:val="none" w:sz="0" w:space="0" w:color="auto"/>
            <w:right w:val="none" w:sz="0" w:space="0" w:color="auto"/>
          </w:divBdr>
        </w:div>
        <w:div w:id="916674777">
          <w:marLeft w:val="302"/>
          <w:marRight w:val="0"/>
          <w:marTop w:val="106"/>
          <w:marBottom w:val="0"/>
          <w:divBdr>
            <w:top w:val="none" w:sz="0" w:space="0" w:color="auto"/>
            <w:left w:val="none" w:sz="0" w:space="0" w:color="auto"/>
            <w:bottom w:val="none" w:sz="0" w:space="0" w:color="auto"/>
            <w:right w:val="none" w:sz="0" w:space="0" w:color="auto"/>
          </w:divBdr>
        </w:div>
        <w:div w:id="1434088983">
          <w:marLeft w:val="30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2022-04-28T20:39:00Z</dcterms:created>
  <dcterms:modified xsi:type="dcterms:W3CDTF">2022-04-28T20:44:00Z</dcterms:modified>
</cp:coreProperties>
</file>