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B73E" w14:textId="77777777" w:rsidR="00AF123E" w:rsidRDefault="00824A8E">
      <w:pPr>
        <w:rPr>
          <w:b/>
          <w:sz w:val="36"/>
          <w:szCs w:val="36"/>
        </w:rPr>
      </w:pPr>
      <w:r>
        <w:rPr>
          <w:b/>
        </w:rPr>
        <w:tab/>
      </w:r>
      <w:r>
        <w:rPr>
          <w:b/>
        </w:rPr>
        <w:tab/>
      </w:r>
      <w:r>
        <w:rPr>
          <w:b/>
        </w:rPr>
        <w:tab/>
        <w:t xml:space="preserve"> </w:t>
      </w:r>
      <w:r>
        <w:rPr>
          <w:b/>
        </w:rPr>
        <w:tab/>
      </w:r>
      <w:r>
        <w:rPr>
          <w:b/>
        </w:rPr>
        <w:tab/>
      </w:r>
      <w:r>
        <w:rPr>
          <w:b/>
          <w:noProof/>
        </w:rPr>
        <w:drawing>
          <wp:inline distT="114300" distB="114300" distL="114300" distR="114300" wp14:anchorId="056388A6" wp14:editId="761EFEB7">
            <wp:extent cx="1116806" cy="438150"/>
            <wp:effectExtent l="0" t="0" r="0" b="0"/>
            <wp:docPr id="2" name="image1.png" descr="TASN Logo"/>
            <wp:cNvGraphicFramePr/>
            <a:graphic xmlns:a="http://schemas.openxmlformats.org/drawingml/2006/main">
              <a:graphicData uri="http://schemas.openxmlformats.org/drawingml/2006/picture">
                <pic:pic xmlns:pic="http://schemas.openxmlformats.org/drawingml/2006/picture">
                  <pic:nvPicPr>
                    <pic:cNvPr id="2" name="image1.png" descr="TASN Logo"/>
                    <pic:cNvPicPr preferRelativeResize="0"/>
                  </pic:nvPicPr>
                  <pic:blipFill>
                    <a:blip r:embed="rId5"/>
                    <a:srcRect/>
                    <a:stretch>
                      <a:fillRect/>
                    </a:stretch>
                  </pic:blipFill>
                  <pic:spPr>
                    <a:xfrm>
                      <a:off x="0" y="0"/>
                      <a:ext cx="1116806" cy="438150"/>
                    </a:xfrm>
                    <a:prstGeom prst="rect">
                      <a:avLst/>
                    </a:prstGeom>
                    <a:ln/>
                  </pic:spPr>
                </pic:pic>
              </a:graphicData>
            </a:graphic>
          </wp:inline>
        </w:drawing>
      </w:r>
      <w:r>
        <w:rPr>
          <w:b/>
        </w:rPr>
        <w:tab/>
      </w:r>
      <w:r>
        <w:rPr>
          <w:b/>
          <w:sz w:val="36"/>
          <w:szCs w:val="36"/>
        </w:rPr>
        <w:tab/>
      </w:r>
    </w:p>
    <w:p w14:paraId="075DBA6A" w14:textId="77777777" w:rsidR="00AF123E" w:rsidRDefault="00824A8E">
      <w:pPr>
        <w:jc w:val="center"/>
        <w:rPr>
          <w:b/>
          <w:sz w:val="28"/>
          <w:szCs w:val="28"/>
        </w:rPr>
      </w:pPr>
      <w:r>
        <w:rPr>
          <w:b/>
          <w:sz w:val="28"/>
          <w:szCs w:val="28"/>
        </w:rPr>
        <w:t>Debriefing Form</w:t>
      </w:r>
    </w:p>
    <w:p w14:paraId="31C535C6" w14:textId="77777777" w:rsidR="00AF123E" w:rsidRDefault="00AF123E">
      <w:pPr>
        <w:rPr>
          <w:b/>
          <w:sz w:val="20"/>
          <w:szCs w:val="20"/>
        </w:rPr>
      </w:pPr>
    </w:p>
    <w:p w14:paraId="75ACA86B" w14:textId="77777777" w:rsidR="00AF123E" w:rsidRDefault="00824A8E">
      <w:pPr>
        <w:rPr>
          <w:sz w:val="20"/>
          <w:szCs w:val="20"/>
        </w:rPr>
      </w:pPr>
      <w:r>
        <w:rPr>
          <w:sz w:val="20"/>
          <w:szCs w:val="20"/>
        </w:rPr>
        <w:t>The purpose of this form is to help prevent future occurrences of crisis behavior that results in the use of an Emergency Safety Intervention (ESI) or the avoidance of using an ESI along with preventing further trauma to students and secondary trauma to staff.  This form should be completed after EACH crisis incident.</w:t>
      </w:r>
    </w:p>
    <w:p w14:paraId="7BC6199D" w14:textId="77777777" w:rsidR="00AF123E" w:rsidRDefault="00AF123E">
      <w:pPr>
        <w:rPr>
          <w:sz w:val="20"/>
          <w:szCs w:val="20"/>
        </w:rPr>
      </w:pPr>
    </w:p>
    <w:p w14:paraId="79D188E7" w14:textId="77777777" w:rsidR="00AF123E" w:rsidRDefault="00824A8E">
      <w:pPr>
        <w:rPr>
          <w:b/>
          <w:sz w:val="20"/>
          <w:szCs w:val="20"/>
        </w:rPr>
      </w:pPr>
      <w:r>
        <w:rPr>
          <w:b/>
          <w:sz w:val="20"/>
          <w:szCs w:val="20"/>
        </w:rPr>
        <w:t>On-Site Supervisor’s Duties:</w:t>
      </w:r>
    </w:p>
    <w:p w14:paraId="767E0345" w14:textId="77777777" w:rsidR="00AF123E" w:rsidRDefault="00824A8E">
      <w:pPr>
        <w:numPr>
          <w:ilvl w:val="0"/>
          <w:numId w:val="1"/>
        </w:numPr>
        <w:rPr>
          <w:sz w:val="20"/>
          <w:szCs w:val="20"/>
        </w:rPr>
      </w:pPr>
      <w:r>
        <w:rPr>
          <w:sz w:val="20"/>
          <w:szCs w:val="20"/>
        </w:rPr>
        <w:t>Immediately respond to crisis situation to observe</w:t>
      </w:r>
    </w:p>
    <w:p w14:paraId="5B5069EC" w14:textId="77777777" w:rsidR="00AF123E" w:rsidRDefault="00824A8E">
      <w:pPr>
        <w:numPr>
          <w:ilvl w:val="0"/>
          <w:numId w:val="1"/>
        </w:numPr>
        <w:rPr>
          <w:sz w:val="20"/>
          <w:szCs w:val="20"/>
        </w:rPr>
      </w:pPr>
      <w:r>
        <w:rPr>
          <w:sz w:val="20"/>
          <w:szCs w:val="20"/>
        </w:rPr>
        <w:t>Ensure all parties are safe and calm</w:t>
      </w:r>
    </w:p>
    <w:p w14:paraId="36FC6651" w14:textId="77777777" w:rsidR="00AF123E" w:rsidRDefault="00824A8E">
      <w:pPr>
        <w:numPr>
          <w:ilvl w:val="0"/>
          <w:numId w:val="1"/>
        </w:numPr>
        <w:rPr>
          <w:sz w:val="20"/>
          <w:szCs w:val="20"/>
        </w:rPr>
      </w:pPr>
      <w:r>
        <w:rPr>
          <w:sz w:val="20"/>
          <w:szCs w:val="20"/>
        </w:rPr>
        <w:t>Get facts from all parties involved</w:t>
      </w:r>
    </w:p>
    <w:p w14:paraId="0BEDF444" w14:textId="1EE6BC74" w:rsidR="00AF123E" w:rsidRDefault="00205033">
      <w:pPr>
        <w:numPr>
          <w:ilvl w:val="0"/>
          <w:numId w:val="1"/>
        </w:numPr>
        <w:rPr>
          <w:sz w:val="20"/>
          <w:szCs w:val="20"/>
        </w:rPr>
      </w:pPr>
      <w:r>
        <w:rPr>
          <w:sz w:val="20"/>
          <w:szCs w:val="20"/>
        </w:rPr>
        <w:t xml:space="preserve">Monitor completion of </w:t>
      </w:r>
      <w:r w:rsidR="00824A8E">
        <w:rPr>
          <w:sz w:val="20"/>
          <w:szCs w:val="20"/>
        </w:rPr>
        <w:t>Debriefing Form</w:t>
      </w:r>
      <w:r>
        <w:rPr>
          <w:sz w:val="20"/>
          <w:szCs w:val="20"/>
        </w:rPr>
        <w:t xml:space="preserve"> by staff involved</w:t>
      </w:r>
    </w:p>
    <w:p w14:paraId="42C08914" w14:textId="77777777" w:rsidR="00AF123E" w:rsidRDefault="00824A8E">
      <w:pPr>
        <w:numPr>
          <w:ilvl w:val="0"/>
          <w:numId w:val="1"/>
        </w:numPr>
        <w:rPr>
          <w:sz w:val="20"/>
          <w:szCs w:val="20"/>
        </w:rPr>
      </w:pPr>
      <w:r>
        <w:rPr>
          <w:sz w:val="20"/>
          <w:szCs w:val="20"/>
        </w:rPr>
        <w:t>Communicate the use of an ESI to the executive team members</w:t>
      </w:r>
    </w:p>
    <w:p w14:paraId="6F579CD4" w14:textId="77777777" w:rsidR="00AF123E" w:rsidRDefault="00824A8E">
      <w:pPr>
        <w:numPr>
          <w:ilvl w:val="0"/>
          <w:numId w:val="1"/>
        </w:numPr>
        <w:rPr>
          <w:sz w:val="20"/>
          <w:szCs w:val="20"/>
        </w:rPr>
      </w:pPr>
      <w:r>
        <w:rPr>
          <w:sz w:val="20"/>
          <w:szCs w:val="20"/>
        </w:rPr>
        <w:t>Schedule a team meeting to analyze the Debriefing Form within 1-2 days of the incident (Team includes: student or student designee, staff involved, on-site supervisor, executive team member, medical staff, and behavioral support staff)</w:t>
      </w:r>
    </w:p>
    <w:p w14:paraId="510EAE6B" w14:textId="430C32E3" w:rsidR="00ED2FEC" w:rsidRDefault="00ED2FEC">
      <w:pPr>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AF123E" w14:paraId="4F7106CB" w14:textId="77777777" w:rsidTr="00D56EC8">
        <w:tc>
          <w:tcPr>
            <w:tcW w:w="9360" w:type="dxa"/>
            <w:shd w:val="clear" w:color="auto" w:fill="auto"/>
            <w:tcMar>
              <w:top w:w="100" w:type="dxa"/>
              <w:left w:w="100" w:type="dxa"/>
              <w:bottom w:w="100" w:type="dxa"/>
              <w:right w:w="100" w:type="dxa"/>
            </w:tcMar>
          </w:tcPr>
          <w:p w14:paraId="1BD19702" w14:textId="77777777" w:rsidR="00AF123E" w:rsidRDefault="00824A8E">
            <w:pPr>
              <w:widowControl w:val="0"/>
              <w:pBdr>
                <w:top w:val="nil"/>
                <w:left w:val="nil"/>
                <w:bottom w:val="nil"/>
                <w:right w:val="nil"/>
                <w:between w:val="nil"/>
              </w:pBdr>
              <w:spacing w:line="240" w:lineRule="auto"/>
              <w:rPr>
                <w:b/>
                <w:sz w:val="20"/>
                <w:szCs w:val="20"/>
              </w:rPr>
            </w:pPr>
            <w:r>
              <w:rPr>
                <w:b/>
                <w:sz w:val="20"/>
                <w:szCs w:val="20"/>
              </w:rPr>
              <w:t>Student Name:</w:t>
            </w:r>
          </w:p>
          <w:p w14:paraId="1DF15C5C" w14:textId="77777777" w:rsidR="00AF123E" w:rsidRDefault="00AF123E">
            <w:pPr>
              <w:widowControl w:val="0"/>
              <w:pBdr>
                <w:top w:val="nil"/>
                <w:left w:val="nil"/>
                <w:bottom w:val="nil"/>
                <w:right w:val="nil"/>
                <w:between w:val="nil"/>
              </w:pBdr>
              <w:spacing w:line="240" w:lineRule="auto"/>
              <w:rPr>
                <w:b/>
                <w:sz w:val="20"/>
                <w:szCs w:val="20"/>
              </w:rPr>
            </w:pPr>
          </w:p>
        </w:tc>
      </w:tr>
      <w:tr w:rsidR="00AF123E" w14:paraId="5DA6A8B3" w14:textId="77777777" w:rsidTr="00D56EC8">
        <w:tc>
          <w:tcPr>
            <w:tcW w:w="9360" w:type="dxa"/>
            <w:shd w:val="clear" w:color="auto" w:fill="auto"/>
            <w:tcMar>
              <w:top w:w="100" w:type="dxa"/>
              <w:left w:w="100" w:type="dxa"/>
              <w:bottom w:w="100" w:type="dxa"/>
              <w:right w:w="100" w:type="dxa"/>
            </w:tcMar>
          </w:tcPr>
          <w:p w14:paraId="3E1E7DA0" w14:textId="77777777" w:rsidR="00AF123E" w:rsidRDefault="00824A8E">
            <w:pPr>
              <w:widowControl w:val="0"/>
              <w:pBdr>
                <w:top w:val="nil"/>
                <w:left w:val="nil"/>
                <w:bottom w:val="nil"/>
                <w:right w:val="nil"/>
                <w:between w:val="nil"/>
              </w:pBdr>
              <w:spacing w:line="240" w:lineRule="auto"/>
              <w:rPr>
                <w:b/>
                <w:sz w:val="20"/>
                <w:szCs w:val="20"/>
              </w:rPr>
            </w:pPr>
            <w:r>
              <w:rPr>
                <w:b/>
                <w:sz w:val="20"/>
                <w:szCs w:val="20"/>
              </w:rPr>
              <w:t>Staff Involved:</w:t>
            </w:r>
          </w:p>
          <w:p w14:paraId="7AD878FE" w14:textId="77777777" w:rsidR="00AF123E" w:rsidRDefault="00AF123E">
            <w:pPr>
              <w:widowControl w:val="0"/>
              <w:pBdr>
                <w:top w:val="nil"/>
                <w:left w:val="nil"/>
                <w:bottom w:val="nil"/>
                <w:right w:val="nil"/>
                <w:between w:val="nil"/>
              </w:pBdr>
              <w:spacing w:line="240" w:lineRule="auto"/>
              <w:rPr>
                <w:b/>
                <w:sz w:val="20"/>
                <w:szCs w:val="20"/>
              </w:rPr>
            </w:pPr>
          </w:p>
        </w:tc>
      </w:tr>
      <w:tr w:rsidR="00AF123E" w14:paraId="79E816CF" w14:textId="77777777" w:rsidTr="00D56EC8">
        <w:tc>
          <w:tcPr>
            <w:tcW w:w="9360" w:type="dxa"/>
            <w:shd w:val="clear" w:color="auto" w:fill="auto"/>
            <w:tcMar>
              <w:top w:w="100" w:type="dxa"/>
              <w:left w:w="100" w:type="dxa"/>
              <w:bottom w:w="100" w:type="dxa"/>
              <w:right w:w="100" w:type="dxa"/>
            </w:tcMar>
          </w:tcPr>
          <w:p w14:paraId="5DA2C1C1" w14:textId="77777777" w:rsidR="00AF123E" w:rsidRDefault="00824A8E">
            <w:pPr>
              <w:rPr>
                <w:b/>
                <w:sz w:val="20"/>
                <w:szCs w:val="20"/>
              </w:rPr>
            </w:pPr>
            <w:r>
              <w:rPr>
                <w:b/>
                <w:sz w:val="20"/>
                <w:szCs w:val="20"/>
              </w:rPr>
              <w:t>Describe what happened before the change in behavior occurred:</w:t>
            </w:r>
          </w:p>
          <w:p w14:paraId="47EFE413" w14:textId="77777777" w:rsidR="00AF123E" w:rsidRDefault="00AF123E">
            <w:pPr>
              <w:rPr>
                <w:b/>
                <w:sz w:val="20"/>
                <w:szCs w:val="20"/>
              </w:rPr>
            </w:pPr>
          </w:p>
          <w:p w14:paraId="590D9A5F" w14:textId="77777777" w:rsidR="00AF123E" w:rsidRDefault="00AF123E">
            <w:pPr>
              <w:rPr>
                <w:b/>
                <w:sz w:val="20"/>
                <w:szCs w:val="20"/>
              </w:rPr>
            </w:pPr>
          </w:p>
        </w:tc>
      </w:tr>
      <w:tr w:rsidR="00ED2FEC" w14:paraId="7B39596B" w14:textId="77777777" w:rsidTr="00D56EC8">
        <w:tc>
          <w:tcPr>
            <w:tcW w:w="9360" w:type="dxa"/>
            <w:shd w:val="clear" w:color="auto" w:fill="auto"/>
            <w:tcMar>
              <w:top w:w="100" w:type="dxa"/>
              <w:left w:w="100" w:type="dxa"/>
              <w:bottom w:w="100" w:type="dxa"/>
              <w:right w:w="100" w:type="dxa"/>
            </w:tcMar>
          </w:tcPr>
          <w:p w14:paraId="46E0C330" w14:textId="77777777" w:rsidR="00ED2FEC" w:rsidRDefault="00ED2FEC">
            <w:pPr>
              <w:rPr>
                <w:b/>
                <w:sz w:val="20"/>
                <w:szCs w:val="20"/>
              </w:rPr>
            </w:pPr>
            <w:r>
              <w:rPr>
                <w:b/>
                <w:sz w:val="20"/>
                <w:szCs w:val="20"/>
              </w:rPr>
              <w:t>Describe the point of conflict that led to the use of an ESI:</w:t>
            </w:r>
          </w:p>
          <w:p w14:paraId="002F1B6C" w14:textId="77777777" w:rsidR="00ED2FEC" w:rsidRDefault="00ED2FEC">
            <w:pPr>
              <w:rPr>
                <w:b/>
                <w:sz w:val="20"/>
                <w:szCs w:val="20"/>
              </w:rPr>
            </w:pPr>
          </w:p>
          <w:p w14:paraId="50B6431C" w14:textId="37ACEDE4" w:rsidR="00ED2FEC" w:rsidRDefault="00ED2FEC">
            <w:pPr>
              <w:rPr>
                <w:b/>
                <w:sz w:val="20"/>
                <w:szCs w:val="20"/>
              </w:rPr>
            </w:pPr>
          </w:p>
        </w:tc>
      </w:tr>
      <w:tr w:rsidR="00AF123E" w14:paraId="17E81E6F" w14:textId="77777777" w:rsidTr="00D56EC8">
        <w:tc>
          <w:tcPr>
            <w:tcW w:w="9360" w:type="dxa"/>
            <w:shd w:val="clear" w:color="auto" w:fill="auto"/>
            <w:tcMar>
              <w:top w:w="100" w:type="dxa"/>
              <w:left w:w="100" w:type="dxa"/>
              <w:bottom w:w="100" w:type="dxa"/>
              <w:right w:w="100" w:type="dxa"/>
            </w:tcMar>
          </w:tcPr>
          <w:p w14:paraId="57BFFD68" w14:textId="77777777" w:rsidR="00AF123E" w:rsidRDefault="00824A8E">
            <w:pPr>
              <w:rPr>
                <w:b/>
                <w:sz w:val="20"/>
                <w:szCs w:val="20"/>
              </w:rPr>
            </w:pPr>
            <w:r>
              <w:rPr>
                <w:b/>
                <w:sz w:val="20"/>
                <w:szCs w:val="20"/>
              </w:rPr>
              <w:t>Describe what the student’s change in behavior looked like:</w:t>
            </w:r>
          </w:p>
          <w:p w14:paraId="7B696282" w14:textId="571A9A07" w:rsidR="00AF123E" w:rsidRDefault="00AF123E">
            <w:pPr>
              <w:rPr>
                <w:b/>
                <w:sz w:val="20"/>
                <w:szCs w:val="20"/>
              </w:rPr>
            </w:pPr>
          </w:p>
          <w:p w14:paraId="14F50C5E" w14:textId="77777777" w:rsidR="00AF123E" w:rsidRDefault="00AF123E">
            <w:pPr>
              <w:rPr>
                <w:b/>
                <w:sz w:val="20"/>
                <w:szCs w:val="20"/>
              </w:rPr>
            </w:pPr>
          </w:p>
        </w:tc>
      </w:tr>
      <w:tr w:rsidR="00AF123E" w14:paraId="13ADA2E7" w14:textId="77777777" w:rsidTr="00D56EC8">
        <w:tc>
          <w:tcPr>
            <w:tcW w:w="9360" w:type="dxa"/>
            <w:shd w:val="clear" w:color="auto" w:fill="auto"/>
            <w:tcMar>
              <w:top w:w="100" w:type="dxa"/>
              <w:left w:w="100" w:type="dxa"/>
              <w:bottom w:w="100" w:type="dxa"/>
              <w:right w:w="100" w:type="dxa"/>
            </w:tcMar>
          </w:tcPr>
          <w:p w14:paraId="3EE44936" w14:textId="77777777" w:rsidR="00AF123E" w:rsidRDefault="00824A8E">
            <w:pPr>
              <w:rPr>
                <w:b/>
                <w:sz w:val="20"/>
                <w:szCs w:val="20"/>
              </w:rPr>
            </w:pPr>
            <w:r>
              <w:rPr>
                <w:b/>
                <w:sz w:val="20"/>
                <w:szCs w:val="20"/>
              </w:rPr>
              <w:t>Describe the staff response to the change in behavior:</w:t>
            </w:r>
          </w:p>
          <w:p w14:paraId="56D981FE" w14:textId="77777777" w:rsidR="00AF123E" w:rsidRDefault="00AF123E">
            <w:pPr>
              <w:rPr>
                <w:b/>
                <w:sz w:val="20"/>
                <w:szCs w:val="20"/>
              </w:rPr>
            </w:pPr>
          </w:p>
          <w:p w14:paraId="715CE442" w14:textId="77777777" w:rsidR="00AF123E" w:rsidRDefault="00AF123E">
            <w:pPr>
              <w:rPr>
                <w:b/>
                <w:sz w:val="20"/>
                <w:szCs w:val="20"/>
              </w:rPr>
            </w:pPr>
          </w:p>
        </w:tc>
      </w:tr>
      <w:tr w:rsidR="00AF123E" w14:paraId="2BDF91A9" w14:textId="77777777" w:rsidTr="00D56EC8">
        <w:tc>
          <w:tcPr>
            <w:tcW w:w="9360" w:type="dxa"/>
            <w:shd w:val="clear" w:color="auto" w:fill="auto"/>
            <w:tcMar>
              <w:top w:w="100" w:type="dxa"/>
              <w:left w:w="100" w:type="dxa"/>
              <w:bottom w:w="100" w:type="dxa"/>
              <w:right w:w="100" w:type="dxa"/>
            </w:tcMar>
          </w:tcPr>
          <w:p w14:paraId="074F3331" w14:textId="77777777" w:rsidR="00AF123E" w:rsidRDefault="00824A8E">
            <w:pPr>
              <w:rPr>
                <w:b/>
                <w:sz w:val="20"/>
                <w:szCs w:val="20"/>
              </w:rPr>
            </w:pPr>
            <w:r>
              <w:rPr>
                <w:b/>
                <w:sz w:val="20"/>
                <w:szCs w:val="20"/>
              </w:rPr>
              <w:t>Describe the interventions attempted to de-escalate the behavior:</w:t>
            </w:r>
          </w:p>
          <w:p w14:paraId="046B85EB" w14:textId="3576157D" w:rsidR="00AF123E" w:rsidRDefault="00AF123E">
            <w:pPr>
              <w:rPr>
                <w:b/>
                <w:sz w:val="20"/>
                <w:szCs w:val="20"/>
              </w:rPr>
            </w:pPr>
          </w:p>
          <w:p w14:paraId="2BFD34CE" w14:textId="77777777" w:rsidR="00AF123E" w:rsidRDefault="00AF123E">
            <w:pPr>
              <w:rPr>
                <w:b/>
                <w:sz w:val="20"/>
                <w:szCs w:val="20"/>
              </w:rPr>
            </w:pPr>
          </w:p>
        </w:tc>
      </w:tr>
      <w:tr w:rsidR="00AF123E" w14:paraId="3FB127B2" w14:textId="77777777" w:rsidTr="00D56EC8">
        <w:tc>
          <w:tcPr>
            <w:tcW w:w="9360" w:type="dxa"/>
            <w:shd w:val="clear" w:color="auto" w:fill="auto"/>
            <w:tcMar>
              <w:top w:w="100" w:type="dxa"/>
              <w:left w:w="100" w:type="dxa"/>
              <w:bottom w:w="100" w:type="dxa"/>
              <w:right w:w="100" w:type="dxa"/>
            </w:tcMar>
          </w:tcPr>
          <w:p w14:paraId="3AE3DD88" w14:textId="4A962E52" w:rsidR="00AF123E" w:rsidRDefault="00824A8E">
            <w:pPr>
              <w:rPr>
                <w:b/>
                <w:sz w:val="20"/>
                <w:szCs w:val="20"/>
              </w:rPr>
            </w:pPr>
            <w:r>
              <w:rPr>
                <w:b/>
                <w:sz w:val="20"/>
                <w:szCs w:val="20"/>
              </w:rPr>
              <w:t>Describe the student’s response to the interventions attempted:</w:t>
            </w:r>
            <w:r w:rsidR="00D56EC8">
              <w:rPr>
                <w:noProof/>
              </w:rPr>
              <w:t xml:space="preserve"> </w:t>
            </w:r>
          </w:p>
          <w:p w14:paraId="52B67BC7" w14:textId="7CFFBB03" w:rsidR="00AF123E" w:rsidRDefault="00AF123E">
            <w:pPr>
              <w:rPr>
                <w:b/>
                <w:sz w:val="20"/>
                <w:szCs w:val="20"/>
              </w:rPr>
            </w:pPr>
          </w:p>
          <w:p w14:paraId="3DB7652C" w14:textId="77777777" w:rsidR="00AF123E" w:rsidRDefault="00AF123E">
            <w:pPr>
              <w:rPr>
                <w:b/>
                <w:sz w:val="20"/>
                <w:szCs w:val="20"/>
              </w:rPr>
            </w:pPr>
          </w:p>
        </w:tc>
      </w:tr>
      <w:tr w:rsidR="00AF123E" w14:paraId="1FAB50F2" w14:textId="77777777" w:rsidTr="00D56EC8">
        <w:tc>
          <w:tcPr>
            <w:tcW w:w="9360" w:type="dxa"/>
            <w:shd w:val="clear" w:color="auto" w:fill="auto"/>
            <w:tcMar>
              <w:top w:w="100" w:type="dxa"/>
              <w:left w:w="100" w:type="dxa"/>
              <w:bottom w:w="100" w:type="dxa"/>
              <w:right w:w="100" w:type="dxa"/>
            </w:tcMar>
          </w:tcPr>
          <w:p w14:paraId="0A4CA1EC" w14:textId="77777777" w:rsidR="00AF123E" w:rsidRDefault="00824A8E">
            <w:pPr>
              <w:rPr>
                <w:b/>
                <w:sz w:val="20"/>
                <w:szCs w:val="20"/>
              </w:rPr>
            </w:pPr>
            <w:r>
              <w:rPr>
                <w:b/>
                <w:sz w:val="20"/>
                <w:szCs w:val="20"/>
              </w:rPr>
              <w:lastRenderedPageBreak/>
              <w:t>Describe the student behavior that was considered dangerous:</w:t>
            </w:r>
          </w:p>
          <w:p w14:paraId="38EC8E70" w14:textId="0FF92822" w:rsidR="00AF123E" w:rsidRDefault="00AF123E">
            <w:pPr>
              <w:rPr>
                <w:b/>
                <w:sz w:val="20"/>
                <w:szCs w:val="20"/>
              </w:rPr>
            </w:pPr>
          </w:p>
          <w:p w14:paraId="66211EE6" w14:textId="77777777" w:rsidR="00AF123E" w:rsidRDefault="00AF123E">
            <w:pPr>
              <w:rPr>
                <w:b/>
                <w:sz w:val="20"/>
                <w:szCs w:val="20"/>
              </w:rPr>
            </w:pPr>
          </w:p>
        </w:tc>
      </w:tr>
      <w:tr w:rsidR="00AF123E" w14:paraId="49C50BFB" w14:textId="77777777" w:rsidTr="00D56EC8">
        <w:tc>
          <w:tcPr>
            <w:tcW w:w="9360" w:type="dxa"/>
            <w:shd w:val="clear" w:color="auto" w:fill="auto"/>
            <w:tcMar>
              <w:top w:w="100" w:type="dxa"/>
              <w:left w:w="100" w:type="dxa"/>
              <w:bottom w:w="100" w:type="dxa"/>
              <w:right w:w="100" w:type="dxa"/>
            </w:tcMar>
          </w:tcPr>
          <w:p w14:paraId="0A4D2344" w14:textId="77777777" w:rsidR="00AF123E" w:rsidRDefault="00824A8E">
            <w:pPr>
              <w:rPr>
                <w:b/>
                <w:sz w:val="20"/>
                <w:szCs w:val="20"/>
              </w:rPr>
            </w:pPr>
            <w:r>
              <w:rPr>
                <w:b/>
                <w:sz w:val="20"/>
                <w:szCs w:val="20"/>
              </w:rPr>
              <w:t>Describe the staff response to dangerous behavior in an attempt to avoid an ESI:</w:t>
            </w:r>
          </w:p>
          <w:p w14:paraId="4C4EA8E4" w14:textId="77777777" w:rsidR="00AF123E" w:rsidRDefault="00AF123E">
            <w:pPr>
              <w:rPr>
                <w:b/>
                <w:sz w:val="20"/>
                <w:szCs w:val="20"/>
              </w:rPr>
            </w:pPr>
          </w:p>
          <w:p w14:paraId="00B20DB8" w14:textId="77777777" w:rsidR="00AF123E" w:rsidRDefault="00AF123E">
            <w:pPr>
              <w:rPr>
                <w:b/>
                <w:sz w:val="20"/>
                <w:szCs w:val="20"/>
              </w:rPr>
            </w:pPr>
          </w:p>
        </w:tc>
      </w:tr>
      <w:tr w:rsidR="00AF123E" w14:paraId="28663547" w14:textId="77777777" w:rsidTr="00D56EC8">
        <w:tc>
          <w:tcPr>
            <w:tcW w:w="9360" w:type="dxa"/>
            <w:shd w:val="clear" w:color="auto" w:fill="auto"/>
            <w:tcMar>
              <w:top w:w="100" w:type="dxa"/>
              <w:left w:w="100" w:type="dxa"/>
              <w:bottom w:w="100" w:type="dxa"/>
              <w:right w:w="100" w:type="dxa"/>
            </w:tcMar>
          </w:tcPr>
          <w:p w14:paraId="2769889C" w14:textId="753E13E7" w:rsidR="00AF123E" w:rsidRDefault="00824A8E">
            <w:pPr>
              <w:rPr>
                <w:b/>
                <w:sz w:val="20"/>
                <w:szCs w:val="20"/>
              </w:rPr>
            </w:pPr>
            <w:r>
              <w:rPr>
                <w:b/>
                <w:sz w:val="20"/>
                <w:szCs w:val="20"/>
              </w:rPr>
              <w:t>Describe the student’s response to the attempts to avoid an ESI:</w:t>
            </w:r>
          </w:p>
          <w:p w14:paraId="16AA813F" w14:textId="77777777" w:rsidR="00AF123E" w:rsidRDefault="00AF123E">
            <w:pPr>
              <w:rPr>
                <w:b/>
                <w:sz w:val="20"/>
                <w:szCs w:val="20"/>
              </w:rPr>
            </w:pPr>
          </w:p>
          <w:p w14:paraId="262D06AF" w14:textId="77777777" w:rsidR="00AF123E" w:rsidRDefault="00AF123E">
            <w:pPr>
              <w:rPr>
                <w:b/>
                <w:sz w:val="20"/>
                <w:szCs w:val="20"/>
              </w:rPr>
            </w:pPr>
          </w:p>
        </w:tc>
      </w:tr>
      <w:tr w:rsidR="00AF123E" w14:paraId="609BF254" w14:textId="77777777" w:rsidTr="00D56EC8">
        <w:tc>
          <w:tcPr>
            <w:tcW w:w="9360" w:type="dxa"/>
            <w:shd w:val="clear" w:color="auto" w:fill="auto"/>
            <w:tcMar>
              <w:top w:w="100" w:type="dxa"/>
              <w:left w:w="100" w:type="dxa"/>
              <w:bottom w:w="100" w:type="dxa"/>
              <w:right w:w="100" w:type="dxa"/>
            </w:tcMar>
          </w:tcPr>
          <w:p w14:paraId="7416A621" w14:textId="0E2353A4" w:rsidR="00AF123E" w:rsidRDefault="00824A8E">
            <w:pPr>
              <w:rPr>
                <w:b/>
                <w:sz w:val="20"/>
                <w:szCs w:val="20"/>
              </w:rPr>
            </w:pPr>
            <w:r>
              <w:rPr>
                <w:b/>
                <w:sz w:val="20"/>
                <w:szCs w:val="20"/>
              </w:rPr>
              <w:t xml:space="preserve">Describe the staff’s response, including the type </w:t>
            </w:r>
            <w:r w:rsidR="00205033">
              <w:rPr>
                <w:b/>
                <w:sz w:val="20"/>
                <w:szCs w:val="20"/>
              </w:rPr>
              <w:t xml:space="preserve">and duration </w:t>
            </w:r>
            <w:r>
              <w:rPr>
                <w:b/>
                <w:sz w:val="20"/>
                <w:szCs w:val="20"/>
              </w:rPr>
              <w:t>of ESI used:</w:t>
            </w:r>
          </w:p>
          <w:p w14:paraId="23F028D1" w14:textId="77777777" w:rsidR="00AF123E" w:rsidRDefault="00AF123E">
            <w:pPr>
              <w:rPr>
                <w:b/>
                <w:sz w:val="20"/>
                <w:szCs w:val="20"/>
              </w:rPr>
            </w:pPr>
          </w:p>
          <w:p w14:paraId="4F5A91E6" w14:textId="08AE616D" w:rsidR="00AF123E" w:rsidRDefault="00AF123E">
            <w:pPr>
              <w:rPr>
                <w:b/>
                <w:sz w:val="20"/>
                <w:szCs w:val="20"/>
              </w:rPr>
            </w:pPr>
          </w:p>
        </w:tc>
      </w:tr>
      <w:tr w:rsidR="00AF123E" w14:paraId="0F022FC0" w14:textId="77777777" w:rsidTr="00D56EC8">
        <w:tc>
          <w:tcPr>
            <w:tcW w:w="9360" w:type="dxa"/>
            <w:shd w:val="clear" w:color="auto" w:fill="auto"/>
            <w:tcMar>
              <w:top w:w="100" w:type="dxa"/>
              <w:left w:w="100" w:type="dxa"/>
              <w:bottom w:w="100" w:type="dxa"/>
              <w:right w:w="100" w:type="dxa"/>
            </w:tcMar>
          </w:tcPr>
          <w:p w14:paraId="59AC6F2F" w14:textId="4C924496" w:rsidR="00AF123E" w:rsidRDefault="00824A8E">
            <w:pPr>
              <w:rPr>
                <w:b/>
                <w:sz w:val="20"/>
                <w:szCs w:val="20"/>
              </w:rPr>
            </w:pPr>
            <w:r>
              <w:rPr>
                <w:b/>
                <w:sz w:val="20"/>
                <w:szCs w:val="20"/>
              </w:rPr>
              <w:t>Describe the student’s response to the use of the ESI:</w:t>
            </w:r>
          </w:p>
          <w:p w14:paraId="473242C7" w14:textId="77777777" w:rsidR="00AF123E" w:rsidRDefault="00AF123E">
            <w:pPr>
              <w:rPr>
                <w:b/>
                <w:sz w:val="20"/>
                <w:szCs w:val="20"/>
              </w:rPr>
            </w:pPr>
          </w:p>
          <w:p w14:paraId="6E38AAED" w14:textId="77777777" w:rsidR="00AF123E" w:rsidRDefault="00AF123E">
            <w:pPr>
              <w:rPr>
                <w:b/>
                <w:sz w:val="20"/>
                <w:szCs w:val="20"/>
              </w:rPr>
            </w:pPr>
          </w:p>
        </w:tc>
      </w:tr>
      <w:tr w:rsidR="00AF123E" w14:paraId="2F1414E6" w14:textId="77777777" w:rsidTr="00D56EC8">
        <w:tc>
          <w:tcPr>
            <w:tcW w:w="9360" w:type="dxa"/>
            <w:shd w:val="clear" w:color="auto" w:fill="auto"/>
            <w:tcMar>
              <w:top w:w="100" w:type="dxa"/>
              <w:left w:w="100" w:type="dxa"/>
              <w:bottom w:w="100" w:type="dxa"/>
              <w:right w:w="100" w:type="dxa"/>
            </w:tcMar>
          </w:tcPr>
          <w:p w14:paraId="61EE90B8" w14:textId="4A2166DC" w:rsidR="00AF123E" w:rsidRDefault="00824A8E">
            <w:pPr>
              <w:rPr>
                <w:b/>
                <w:sz w:val="20"/>
                <w:szCs w:val="20"/>
              </w:rPr>
            </w:pPr>
            <w:r>
              <w:rPr>
                <w:b/>
                <w:sz w:val="20"/>
                <w:szCs w:val="20"/>
              </w:rPr>
              <w:t>Describe staff’s attempts to calm the student after the use of the ESI:</w:t>
            </w:r>
          </w:p>
          <w:p w14:paraId="1832D6FC" w14:textId="77777777" w:rsidR="00AF123E" w:rsidRDefault="00AF123E">
            <w:pPr>
              <w:rPr>
                <w:b/>
                <w:sz w:val="20"/>
                <w:szCs w:val="20"/>
              </w:rPr>
            </w:pPr>
          </w:p>
          <w:p w14:paraId="716E49DA" w14:textId="77777777" w:rsidR="00AF123E" w:rsidRDefault="00AF123E">
            <w:pPr>
              <w:rPr>
                <w:b/>
                <w:sz w:val="20"/>
                <w:szCs w:val="20"/>
              </w:rPr>
            </w:pPr>
          </w:p>
        </w:tc>
      </w:tr>
      <w:tr w:rsidR="00AF123E" w14:paraId="7E741B8C" w14:textId="77777777" w:rsidTr="00D56EC8">
        <w:tc>
          <w:tcPr>
            <w:tcW w:w="9360" w:type="dxa"/>
            <w:shd w:val="clear" w:color="auto" w:fill="auto"/>
            <w:tcMar>
              <w:top w:w="100" w:type="dxa"/>
              <w:left w:w="100" w:type="dxa"/>
              <w:bottom w:w="100" w:type="dxa"/>
              <w:right w:w="100" w:type="dxa"/>
            </w:tcMar>
          </w:tcPr>
          <w:p w14:paraId="30729A31" w14:textId="09BE1558" w:rsidR="00AF123E" w:rsidRDefault="00824A8E">
            <w:pPr>
              <w:rPr>
                <w:b/>
                <w:sz w:val="20"/>
                <w:szCs w:val="20"/>
              </w:rPr>
            </w:pPr>
            <w:r>
              <w:rPr>
                <w:b/>
                <w:sz w:val="20"/>
                <w:szCs w:val="20"/>
              </w:rPr>
              <w:t>Describe how the student repaired relationships/environment before returning to class:</w:t>
            </w:r>
          </w:p>
          <w:p w14:paraId="37920D16" w14:textId="77777777" w:rsidR="00AF123E" w:rsidRDefault="00AF123E">
            <w:pPr>
              <w:rPr>
                <w:b/>
                <w:sz w:val="20"/>
                <w:szCs w:val="20"/>
              </w:rPr>
            </w:pPr>
          </w:p>
          <w:p w14:paraId="790CE32D" w14:textId="77777777" w:rsidR="00AF123E" w:rsidRDefault="00AF123E">
            <w:pPr>
              <w:rPr>
                <w:b/>
                <w:sz w:val="20"/>
                <w:szCs w:val="20"/>
              </w:rPr>
            </w:pPr>
          </w:p>
        </w:tc>
      </w:tr>
      <w:tr w:rsidR="00AF123E" w14:paraId="41223EA9" w14:textId="77777777" w:rsidTr="00D56EC8">
        <w:tc>
          <w:tcPr>
            <w:tcW w:w="9360" w:type="dxa"/>
            <w:shd w:val="clear" w:color="auto" w:fill="auto"/>
            <w:tcMar>
              <w:top w:w="100" w:type="dxa"/>
              <w:left w:w="100" w:type="dxa"/>
              <w:bottom w:w="100" w:type="dxa"/>
              <w:right w:w="100" w:type="dxa"/>
            </w:tcMar>
          </w:tcPr>
          <w:p w14:paraId="4751C0C5" w14:textId="74C1AB1D" w:rsidR="00AF123E" w:rsidRDefault="00824A8E">
            <w:pPr>
              <w:widowControl w:val="0"/>
              <w:pBdr>
                <w:top w:val="nil"/>
                <w:left w:val="nil"/>
                <w:bottom w:val="nil"/>
                <w:right w:val="nil"/>
                <w:between w:val="nil"/>
              </w:pBdr>
              <w:spacing w:line="240" w:lineRule="auto"/>
              <w:rPr>
                <w:b/>
                <w:sz w:val="20"/>
                <w:szCs w:val="20"/>
              </w:rPr>
            </w:pPr>
            <w:r>
              <w:rPr>
                <w:b/>
                <w:sz w:val="20"/>
                <w:szCs w:val="20"/>
              </w:rPr>
              <w:t>Describe student injuries:</w:t>
            </w:r>
          </w:p>
          <w:p w14:paraId="265D2999" w14:textId="3A708FB3" w:rsidR="00AF123E" w:rsidRDefault="00AF123E">
            <w:pPr>
              <w:widowControl w:val="0"/>
              <w:pBdr>
                <w:top w:val="nil"/>
                <w:left w:val="nil"/>
                <w:bottom w:val="nil"/>
                <w:right w:val="nil"/>
                <w:between w:val="nil"/>
              </w:pBdr>
              <w:spacing w:line="240" w:lineRule="auto"/>
              <w:rPr>
                <w:b/>
                <w:sz w:val="20"/>
                <w:szCs w:val="20"/>
              </w:rPr>
            </w:pPr>
          </w:p>
          <w:p w14:paraId="5F1198DD" w14:textId="7377DA6A" w:rsidR="00AF123E" w:rsidRDefault="00AF123E">
            <w:pPr>
              <w:widowControl w:val="0"/>
              <w:pBdr>
                <w:top w:val="nil"/>
                <w:left w:val="nil"/>
                <w:bottom w:val="nil"/>
                <w:right w:val="nil"/>
                <w:between w:val="nil"/>
              </w:pBdr>
              <w:spacing w:line="240" w:lineRule="auto"/>
              <w:rPr>
                <w:b/>
                <w:sz w:val="20"/>
                <w:szCs w:val="20"/>
              </w:rPr>
            </w:pPr>
          </w:p>
        </w:tc>
      </w:tr>
      <w:tr w:rsidR="00AF123E" w14:paraId="287DAE69" w14:textId="77777777" w:rsidTr="00D56EC8">
        <w:trPr>
          <w:trHeight w:val="460"/>
        </w:trPr>
        <w:tc>
          <w:tcPr>
            <w:tcW w:w="9360" w:type="dxa"/>
            <w:shd w:val="clear" w:color="auto" w:fill="auto"/>
            <w:tcMar>
              <w:top w:w="100" w:type="dxa"/>
              <w:left w:w="100" w:type="dxa"/>
              <w:bottom w:w="100" w:type="dxa"/>
              <w:right w:w="100" w:type="dxa"/>
            </w:tcMar>
          </w:tcPr>
          <w:p w14:paraId="59CAB435" w14:textId="4AEA3264" w:rsidR="00AF123E" w:rsidRDefault="00824A8E">
            <w:pPr>
              <w:widowControl w:val="0"/>
              <w:pBdr>
                <w:top w:val="nil"/>
                <w:left w:val="nil"/>
                <w:bottom w:val="nil"/>
                <w:right w:val="nil"/>
                <w:between w:val="nil"/>
              </w:pBdr>
              <w:spacing w:line="240" w:lineRule="auto"/>
              <w:rPr>
                <w:b/>
                <w:sz w:val="20"/>
                <w:szCs w:val="20"/>
              </w:rPr>
            </w:pPr>
            <w:r>
              <w:rPr>
                <w:b/>
                <w:sz w:val="20"/>
                <w:szCs w:val="20"/>
              </w:rPr>
              <w:t>Describe staff injuries:</w:t>
            </w:r>
          </w:p>
          <w:p w14:paraId="507034C9" w14:textId="0D0265EE" w:rsidR="00AF123E" w:rsidRDefault="00AF123E">
            <w:pPr>
              <w:widowControl w:val="0"/>
              <w:pBdr>
                <w:top w:val="nil"/>
                <w:left w:val="nil"/>
                <w:bottom w:val="nil"/>
                <w:right w:val="nil"/>
                <w:between w:val="nil"/>
              </w:pBdr>
              <w:spacing w:line="240" w:lineRule="auto"/>
              <w:rPr>
                <w:b/>
                <w:sz w:val="20"/>
                <w:szCs w:val="20"/>
              </w:rPr>
            </w:pPr>
          </w:p>
          <w:p w14:paraId="7BA5F38F" w14:textId="43DF3967" w:rsidR="00AF123E" w:rsidRDefault="00AF123E">
            <w:pPr>
              <w:widowControl w:val="0"/>
              <w:pBdr>
                <w:top w:val="nil"/>
                <w:left w:val="nil"/>
                <w:bottom w:val="nil"/>
                <w:right w:val="nil"/>
                <w:between w:val="nil"/>
              </w:pBdr>
              <w:spacing w:line="240" w:lineRule="auto"/>
              <w:rPr>
                <w:b/>
                <w:sz w:val="20"/>
                <w:szCs w:val="20"/>
              </w:rPr>
            </w:pPr>
          </w:p>
        </w:tc>
      </w:tr>
      <w:tr w:rsidR="00AF123E" w14:paraId="51F87D88" w14:textId="77777777" w:rsidTr="00D56EC8">
        <w:tc>
          <w:tcPr>
            <w:tcW w:w="9360" w:type="dxa"/>
            <w:shd w:val="clear" w:color="auto" w:fill="auto"/>
            <w:tcMar>
              <w:top w:w="100" w:type="dxa"/>
              <w:left w:w="100" w:type="dxa"/>
              <w:bottom w:w="100" w:type="dxa"/>
              <w:right w:w="100" w:type="dxa"/>
            </w:tcMar>
          </w:tcPr>
          <w:p w14:paraId="7898B68D" w14:textId="591EAA0C" w:rsidR="00AF123E" w:rsidRDefault="00824A8E">
            <w:pPr>
              <w:rPr>
                <w:b/>
                <w:sz w:val="20"/>
                <w:szCs w:val="20"/>
              </w:rPr>
            </w:pPr>
            <w:r>
              <w:rPr>
                <w:b/>
                <w:sz w:val="20"/>
                <w:szCs w:val="20"/>
              </w:rPr>
              <w:t>Does the student need follow-up emotional support? From who? When?</w:t>
            </w:r>
          </w:p>
          <w:p w14:paraId="15A03935" w14:textId="0F832616" w:rsidR="00AF123E" w:rsidRDefault="00AF123E">
            <w:pPr>
              <w:rPr>
                <w:b/>
                <w:sz w:val="20"/>
                <w:szCs w:val="20"/>
              </w:rPr>
            </w:pPr>
          </w:p>
          <w:p w14:paraId="3EBF7501" w14:textId="77777777" w:rsidR="00AF123E" w:rsidRDefault="00AF123E">
            <w:pPr>
              <w:rPr>
                <w:b/>
                <w:sz w:val="20"/>
                <w:szCs w:val="20"/>
              </w:rPr>
            </w:pPr>
          </w:p>
        </w:tc>
      </w:tr>
      <w:tr w:rsidR="00AF123E" w14:paraId="63E87D25" w14:textId="77777777" w:rsidTr="00D56EC8">
        <w:tc>
          <w:tcPr>
            <w:tcW w:w="9360" w:type="dxa"/>
            <w:shd w:val="clear" w:color="auto" w:fill="auto"/>
            <w:tcMar>
              <w:top w:w="100" w:type="dxa"/>
              <w:left w:w="100" w:type="dxa"/>
              <w:bottom w:w="100" w:type="dxa"/>
              <w:right w:w="100" w:type="dxa"/>
            </w:tcMar>
          </w:tcPr>
          <w:p w14:paraId="44F49FE6" w14:textId="086E6E45" w:rsidR="00AF123E" w:rsidRDefault="00824A8E">
            <w:pPr>
              <w:rPr>
                <w:b/>
                <w:sz w:val="20"/>
                <w:szCs w:val="20"/>
              </w:rPr>
            </w:pPr>
            <w:r>
              <w:rPr>
                <w:b/>
                <w:sz w:val="20"/>
                <w:szCs w:val="20"/>
              </w:rPr>
              <w:t>Do any of the staff involved need follow-up emotional support? From who? When?</w:t>
            </w:r>
          </w:p>
          <w:p w14:paraId="77A71E0E" w14:textId="6BEEFA1E" w:rsidR="00AF123E" w:rsidRDefault="00AF123E">
            <w:pPr>
              <w:rPr>
                <w:b/>
                <w:sz w:val="20"/>
                <w:szCs w:val="20"/>
              </w:rPr>
            </w:pPr>
          </w:p>
          <w:p w14:paraId="613907AE" w14:textId="322122E2" w:rsidR="00AF123E" w:rsidRDefault="00AF123E">
            <w:pPr>
              <w:rPr>
                <w:b/>
                <w:sz w:val="20"/>
                <w:szCs w:val="20"/>
              </w:rPr>
            </w:pPr>
          </w:p>
        </w:tc>
      </w:tr>
    </w:tbl>
    <w:p w14:paraId="2D406B2E" w14:textId="39829D41" w:rsidR="00EF03B7" w:rsidRPr="00EF03B7" w:rsidRDefault="00D56EC8" w:rsidP="00EF03B7">
      <w:r>
        <w:rPr>
          <w:noProof/>
        </w:rPr>
        <w:drawing>
          <wp:inline distT="0" distB="0" distL="0" distR="0" wp14:anchorId="62D788FF" wp14:editId="3A135AFA">
            <wp:extent cx="5943600" cy="482164"/>
            <wp:effectExtent l="0" t="0" r="0" b="635"/>
            <wp:docPr id="1" name="image2.png" descr="TASN Disclaimer"/>
            <wp:cNvGraphicFramePr/>
            <a:graphic xmlns:a="http://schemas.openxmlformats.org/drawingml/2006/main">
              <a:graphicData uri="http://schemas.openxmlformats.org/drawingml/2006/picture">
                <pic:pic xmlns:pic="http://schemas.openxmlformats.org/drawingml/2006/picture">
                  <pic:nvPicPr>
                    <pic:cNvPr id="1" name="image2.png" descr="TASN Disclaimer"/>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943600" cy="482164"/>
                    </a:xfrm>
                    <a:prstGeom prst="rect">
                      <a:avLst/>
                    </a:prstGeom>
                    <a:ln/>
                  </pic:spPr>
                </pic:pic>
              </a:graphicData>
            </a:graphic>
          </wp:inline>
        </w:drawing>
      </w:r>
      <w:r w:rsidR="00EF03B7">
        <w:rPr>
          <w:noProof/>
        </w:rPr>
        <mc:AlternateContent>
          <mc:Choice Requires="wps">
            <w:drawing>
              <wp:inline distT="0" distB="0" distL="0" distR="0" wp14:anchorId="4B7A2269" wp14:editId="03F04DC9">
                <wp:extent cx="6198669" cy="673768"/>
                <wp:effectExtent l="0" t="0" r="0" b="0"/>
                <wp:docPr id="3" name="Text Box 3"/>
                <wp:cNvGraphicFramePr/>
                <a:graphic xmlns:a="http://schemas.openxmlformats.org/drawingml/2006/main">
                  <a:graphicData uri="http://schemas.microsoft.com/office/word/2010/wordprocessingShape">
                    <wps:wsp>
                      <wps:cNvSpPr txBox="1"/>
                      <wps:spPr>
                        <a:xfrm>
                          <a:off x="0" y="0"/>
                          <a:ext cx="6198669" cy="673768"/>
                        </a:xfrm>
                        <a:prstGeom prst="rect">
                          <a:avLst/>
                        </a:prstGeom>
                        <a:noFill/>
                        <a:ln w="6350">
                          <a:noFill/>
                        </a:ln>
                      </wps:spPr>
                      <wps:txbx>
                        <w:txbxContent>
                          <w:p w14:paraId="768BA85E" w14:textId="77777777" w:rsidR="00EF03B7" w:rsidRPr="00EF03B7" w:rsidRDefault="00EF03B7" w:rsidP="00EF03B7">
                            <w:pPr>
                              <w:rPr>
                                <w:b/>
                                <w:sz w:val="16"/>
                                <w:szCs w:val="16"/>
                              </w:rPr>
                            </w:pPr>
                            <w:r w:rsidRPr="00EF03B7">
                              <w:rPr>
                                <w:rFonts w:ascii="Times New Roman" w:hAnsi="Times New Roman" w:cs="Times New Roman"/>
                                <w:color w:val="222222"/>
                                <w:sz w:val="16"/>
                                <w:szCs w:val="16"/>
                                <w:shd w:val="clear" w:color="auto" w:fill="FFFFFF"/>
                              </w:rPr>
                              <w:t>Adapted from</w:t>
                            </w:r>
                            <w:r w:rsidRPr="00EF03B7">
                              <w:rPr>
                                <w:color w:val="222222"/>
                                <w:sz w:val="16"/>
                                <w:szCs w:val="16"/>
                                <w:shd w:val="clear" w:color="auto" w:fill="FFFFFF"/>
                              </w:rPr>
                              <w:t xml:space="preserve"> </w:t>
                            </w:r>
                            <w:proofErr w:type="spellStart"/>
                            <w:r w:rsidRPr="00EF03B7">
                              <w:rPr>
                                <w:rFonts w:ascii="Times New Roman" w:eastAsia="Times New Roman" w:hAnsi="Times New Roman" w:cs="Times New Roman"/>
                                <w:color w:val="222222"/>
                                <w:sz w:val="16"/>
                                <w:szCs w:val="16"/>
                                <w:shd w:val="clear" w:color="auto" w:fill="FFFFFF"/>
                                <w:lang w:val="en-US"/>
                              </w:rPr>
                              <w:t>Huckshorn</w:t>
                            </w:r>
                            <w:proofErr w:type="spellEnd"/>
                            <w:r w:rsidRPr="00EF03B7">
                              <w:rPr>
                                <w:rFonts w:ascii="Times New Roman" w:eastAsia="Times New Roman" w:hAnsi="Times New Roman" w:cs="Times New Roman"/>
                                <w:color w:val="222222"/>
                                <w:sz w:val="16"/>
                                <w:szCs w:val="16"/>
                                <w:shd w:val="clear" w:color="auto" w:fill="FFFFFF"/>
                                <w:lang w:val="en-US"/>
                              </w:rPr>
                              <w:t xml:space="preserve">, K.A.; </w:t>
                            </w:r>
                            <w:proofErr w:type="spellStart"/>
                            <w:r w:rsidRPr="00EF03B7">
                              <w:rPr>
                                <w:rFonts w:ascii="Times New Roman" w:eastAsia="Times New Roman" w:hAnsi="Times New Roman" w:cs="Times New Roman"/>
                                <w:color w:val="222222"/>
                                <w:sz w:val="16"/>
                                <w:szCs w:val="16"/>
                                <w:shd w:val="clear" w:color="auto" w:fill="FFFFFF"/>
                                <w:lang w:val="en-US"/>
                              </w:rPr>
                              <w:t>LeBel</w:t>
                            </w:r>
                            <w:proofErr w:type="spellEnd"/>
                            <w:r w:rsidRPr="00EF03B7">
                              <w:rPr>
                                <w:rFonts w:ascii="Times New Roman" w:eastAsia="Times New Roman" w:hAnsi="Times New Roman" w:cs="Times New Roman"/>
                                <w:color w:val="222222"/>
                                <w:sz w:val="16"/>
                                <w:szCs w:val="16"/>
                                <w:shd w:val="clear" w:color="auto" w:fill="FFFFFF"/>
                                <w:lang w:val="en-US"/>
                              </w:rPr>
                              <w:t>, J.; Caldwell, B. (Eds.) (2018).</w:t>
                            </w:r>
                            <w:r w:rsidRPr="00EF03B7">
                              <w:rPr>
                                <w:rFonts w:ascii="Times New Roman" w:eastAsia="Times New Roman" w:hAnsi="Times New Roman" w:cs="Times New Roman"/>
                                <w:color w:val="222222"/>
                                <w:sz w:val="16"/>
                                <w:szCs w:val="16"/>
                                <w:u w:val="single"/>
                                <w:shd w:val="clear" w:color="auto" w:fill="FFFFFF"/>
                                <w:lang w:val="en-US"/>
                              </w:rPr>
                              <w:t> Six Core Strategies©: Preventing Violence, Conflict and the Use of Seclusion and Restraint in Inpatient Behavioral Health Settings. An Evidence-based Practice Curriculum Training</w:t>
                            </w:r>
                            <w:r w:rsidRPr="00EF03B7">
                              <w:rPr>
                                <w:rFonts w:ascii="Times New Roman" w:eastAsia="Times New Roman" w:hAnsi="Times New Roman" w:cs="Times New Roman"/>
                                <w:color w:val="222222"/>
                                <w:sz w:val="16"/>
                                <w:szCs w:val="16"/>
                                <w:shd w:val="clear" w:color="auto" w:fill="FFFFFF"/>
                                <w:lang w:val="en-US"/>
                              </w:rPr>
                              <w:t> Manual. Originally developed with the National Association of State Mental Health Program Directors (2002-2009): Alexandria, VA. All rights apply to use of these author edited materials.</w:t>
                            </w:r>
                          </w:p>
                          <w:p w14:paraId="769FD940" w14:textId="77777777" w:rsidR="00EF03B7" w:rsidRDefault="00EF0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B7A2269" id="_x0000_t202" coordsize="21600,21600" o:spt="202" path="m,l,21600r21600,l21600,xe">
                <v:stroke joinstyle="miter"/>
                <v:path gradientshapeok="t" o:connecttype="rect"/>
              </v:shapetype>
              <v:shape id="Text Box 3" o:spid="_x0000_s1026" type="#_x0000_t202" style="width:488.1pt;height: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" filled="f" stroked="f" strokeweight=".5pt">
                <v:textbox>
                  <w:txbxContent>
                    <w:p w14:paraId="768BA85E" w14:textId="77777777" w:rsidR="00EF03B7" w:rsidRPr="00EF03B7" w:rsidRDefault="00EF03B7" w:rsidP="00EF03B7">
                      <w:pPr>
                        <w:rPr>
                          <w:b/>
                          <w:sz w:val="16"/>
                          <w:szCs w:val="16"/>
                        </w:rPr>
                      </w:pPr>
                      <w:r w:rsidRPr="00EF03B7">
                        <w:rPr>
                          <w:rFonts w:ascii="Times New Roman" w:hAnsi="Times New Roman" w:cs="Times New Roman"/>
                          <w:color w:val="222222"/>
                          <w:sz w:val="16"/>
                          <w:szCs w:val="16"/>
                          <w:shd w:val="clear" w:color="auto" w:fill="FFFFFF"/>
                        </w:rPr>
                        <w:t>Adapted from</w:t>
                      </w:r>
                      <w:r w:rsidRPr="00EF03B7">
                        <w:rPr>
                          <w:color w:val="222222"/>
                          <w:sz w:val="16"/>
                          <w:szCs w:val="16"/>
                          <w:shd w:val="clear" w:color="auto" w:fill="FFFFFF"/>
                        </w:rPr>
                        <w:t xml:space="preserve"> </w:t>
                      </w:r>
                      <w:proofErr w:type="spellStart"/>
                      <w:r w:rsidRPr="00EF03B7">
                        <w:rPr>
                          <w:rFonts w:ascii="Times New Roman" w:eastAsia="Times New Roman" w:hAnsi="Times New Roman" w:cs="Times New Roman"/>
                          <w:color w:val="222222"/>
                          <w:sz w:val="16"/>
                          <w:szCs w:val="16"/>
                          <w:shd w:val="clear" w:color="auto" w:fill="FFFFFF"/>
                          <w:lang w:val="en-US"/>
                        </w:rPr>
                        <w:t>Huckshorn</w:t>
                      </w:r>
                      <w:proofErr w:type="spellEnd"/>
                      <w:r w:rsidRPr="00EF03B7">
                        <w:rPr>
                          <w:rFonts w:ascii="Times New Roman" w:eastAsia="Times New Roman" w:hAnsi="Times New Roman" w:cs="Times New Roman"/>
                          <w:color w:val="222222"/>
                          <w:sz w:val="16"/>
                          <w:szCs w:val="16"/>
                          <w:shd w:val="clear" w:color="auto" w:fill="FFFFFF"/>
                          <w:lang w:val="en-US"/>
                        </w:rPr>
                        <w:t xml:space="preserve">, K.A.; </w:t>
                      </w:r>
                      <w:proofErr w:type="spellStart"/>
                      <w:r w:rsidRPr="00EF03B7">
                        <w:rPr>
                          <w:rFonts w:ascii="Times New Roman" w:eastAsia="Times New Roman" w:hAnsi="Times New Roman" w:cs="Times New Roman"/>
                          <w:color w:val="222222"/>
                          <w:sz w:val="16"/>
                          <w:szCs w:val="16"/>
                          <w:shd w:val="clear" w:color="auto" w:fill="FFFFFF"/>
                          <w:lang w:val="en-US"/>
                        </w:rPr>
                        <w:t>LeBel</w:t>
                      </w:r>
                      <w:proofErr w:type="spellEnd"/>
                      <w:r w:rsidRPr="00EF03B7">
                        <w:rPr>
                          <w:rFonts w:ascii="Times New Roman" w:eastAsia="Times New Roman" w:hAnsi="Times New Roman" w:cs="Times New Roman"/>
                          <w:color w:val="222222"/>
                          <w:sz w:val="16"/>
                          <w:szCs w:val="16"/>
                          <w:shd w:val="clear" w:color="auto" w:fill="FFFFFF"/>
                          <w:lang w:val="en-US"/>
                        </w:rPr>
                        <w:t>, J.; Caldwell, B. (Eds.) (2018).</w:t>
                      </w:r>
                      <w:r w:rsidRPr="00EF03B7">
                        <w:rPr>
                          <w:rFonts w:ascii="Times New Roman" w:eastAsia="Times New Roman" w:hAnsi="Times New Roman" w:cs="Times New Roman"/>
                          <w:color w:val="222222"/>
                          <w:sz w:val="16"/>
                          <w:szCs w:val="16"/>
                          <w:u w:val="single"/>
                          <w:shd w:val="clear" w:color="auto" w:fill="FFFFFF"/>
                          <w:lang w:val="en-US"/>
                        </w:rPr>
                        <w:t> Six Core Strategies©: Preventing Violence, Conflict and the Use of Seclusion and Restraint in Inpatient Behavioral Health Settings. An Evidence-based Practice Curriculum Training</w:t>
                      </w:r>
                      <w:r w:rsidRPr="00EF03B7">
                        <w:rPr>
                          <w:rFonts w:ascii="Times New Roman" w:eastAsia="Times New Roman" w:hAnsi="Times New Roman" w:cs="Times New Roman"/>
                          <w:color w:val="222222"/>
                          <w:sz w:val="16"/>
                          <w:szCs w:val="16"/>
                          <w:shd w:val="clear" w:color="auto" w:fill="FFFFFF"/>
                          <w:lang w:val="en-US"/>
                        </w:rPr>
                        <w:t> Manual. Originally developed with the National Association of State Mental Health Program Directors (2002-2009): Alexandria, VA. All rights apply to use of these author edited materials.</w:t>
                      </w:r>
                    </w:p>
                    <w:p w14:paraId="769FD940" w14:textId="77777777" w:rsidR="00EF03B7" w:rsidRDefault="00EF03B7"/>
                  </w:txbxContent>
                </v:textbox>
                <w10:anchorlock/>
              </v:shape>
            </w:pict>
          </mc:Fallback>
        </mc:AlternateContent>
      </w:r>
    </w:p>
    <w:sectPr w:rsidR="00EF03B7" w:rsidRPr="00EF03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00C81"/>
    <w:multiLevelType w:val="multilevel"/>
    <w:tmpl w:val="A8961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885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3E"/>
    <w:rsid w:val="00090A0F"/>
    <w:rsid w:val="00205033"/>
    <w:rsid w:val="00772DDB"/>
    <w:rsid w:val="00824A8E"/>
    <w:rsid w:val="00AF123E"/>
    <w:rsid w:val="00D56EC8"/>
    <w:rsid w:val="00ED2FEC"/>
    <w:rsid w:val="00EF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F83E"/>
  <w15:docId w15:val="{1D4D4455-193A-D648-B13E-BA0CCAFD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Hitchcock</cp:lastModifiedBy>
  <cp:revision>8</cp:revision>
  <dcterms:created xsi:type="dcterms:W3CDTF">2019-09-26T15:17:00Z</dcterms:created>
  <dcterms:modified xsi:type="dcterms:W3CDTF">2023-12-15T18:28:00Z</dcterms:modified>
</cp:coreProperties>
</file>