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15" w:type="dxa"/>
        <w:tblLook w:val="04A0" w:firstRow="1" w:lastRow="0" w:firstColumn="1" w:lastColumn="0" w:noHBand="0" w:noVBand="1"/>
      </w:tblPr>
      <w:tblGrid>
        <w:gridCol w:w="2137"/>
        <w:gridCol w:w="6320"/>
        <w:gridCol w:w="5958"/>
      </w:tblGrid>
      <w:tr w:rsidR="005D5719" w14:paraId="3F91EDAA" w14:textId="77777777" w:rsidTr="00973EB7">
        <w:trPr>
          <w:trHeight w:val="310"/>
        </w:trPr>
        <w:tc>
          <w:tcPr>
            <w:tcW w:w="14415" w:type="dxa"/>
            <w:gridSpan w:val="3"/>
          </w:tcPr>
          <w:p w14:paraId="6E43F16E" w14:textId="77777777" w:rsidR="005D5719" w:rsidRPr="005D5719" w:rsidRDefault="005D5719" w:rsidP="005D5719">
            <w:pPr>
              <w:jc w:val="center"/>
              <w:rPr>
                <w:rFonts w:ascii="Century Gothic" w:hAnsi="Century Gothic"/>
                <w:b/>
              </w:rPr>
            </w:pPr>
            <w:r w:rsidRPr="005D5719">
              <w:rPr>
                <w:rFonts w:ascii="Century Gothic" w:hAnsi="Century Gothic"/>
                <w:b/>
              </w:rPr>
              <w:t>Advanced Coaching Applications – Review of Steps in Coaching Conversations</w:t>
            </w:r>
          </w:p>
        </w:tc>
      </w:tr>
      <w:tr w:rsidR="00DE56FA" w14:paraId="21A5F2FB" w14:textId="77777777" w:rsidTr="00973EB7">
        <w:trPr>
          <w:trHeight w:val="310"/>
        </w:trPr>
        <w:tc>
          <w:tcPr>
            <w:tcW w:w="14415" w:type="dxa"/>
            <w:gridSpan w:val="3"/>
          </w:tcPr>
          <w:p w14:paraId="5C577164" w14:textId="77777777" w:rsidR="00DE56FA" w:rsidRPr="005D5719" w:rsidRDefault="00DE56FA" w:rsidP="005D571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5D5719" w14:paraId="509A94BC" w14:textId="77777777" w:rsidTr="00330112">
        <w:trPr>
          <w:trHeight w:val="310"/>
        </w:trPr>
        <w:tc>
          <w:tcPr>
            <w:tcW w:w="2137" w:type="dxa"/>
          </w:tcPr>
          <w:p w14:paraId="76673F01" w14:textId="77777777" w:rsidR="005D5719" w:rsidRDefault="005D5719" w:rsidP="006D5ADF">
            <w:pPr>
              <w:ind w:right="12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</w:t>
            </w:r>
          </w:p>
        </w:tc>
        <w:tc>
          <w:tcPr>
            <w:tcW w:w="6320" w:type="dxa"/>
          </w:tcPr>
          <w:p w14:paraId="71E8EF90" w14:textId="77777777" w:rsidR="005D5719" w:rsidRDefault="005D5719" w:rsidP="006D5ADF">
            <w:pPr>
              <w:ind w:right="12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Description &amp; considerations</w:t>
            </w:r>
          </w:p>
        </w:tc>
        <w:tc>
          <w:tcPr>
            <w:tcW w:w="5958" w:type="dxa"/>
          </w:tcPr>
          <w:p w14:paraId="103B5E3A" w14:textId="77777777" w:rsidR="005D5719" w:rsidRDefault="005D5719" w:rsidP="006D5A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Questions</w:t>
            </w:r>
          </w:p>
        </w:tc>
      </w:tr>
      <w:tr w:rsidR="005D5719" w14:paraId="47F04B18" w14:textId="77777777" w:rsidTr="00DE56FA">
        <w:trPr>
          <w:trHeight w:val="1511"/>
        </w:trPr>
        <w:tc>
          <w:tcPr>
            <w:tcW w:w="2137" w:type="dxa"/>
            <w:vAlign w:val="center"/>
          </w:tcPr>
          <w:p w14:paraId="5548DCF1" w14:textId="77777777" w:rsidR="005D5719" w:rsidRDefault="005D5719" w:rsidP="005D57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Identify purpose</w:t>
            </w:r>
          </w:p>
        </w:tc>
        <w:tc>
          <w:tcPr>
            <w:tcW w:w="6320" w:type="dxa"/>
            <w:vAlign w:val="center"/>
          </w:tcPr>
          <w:p w14:paraId="6750F1EC" w14:textId="77777777" w:rsidR="005D5719" w:rsidRDefault="005D5719" w:rsidP="005D57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0A1993">
              <w:rPr>
                <w:rFonts w:ascii="Century Gothic" w:hAnsi="Century Gothic"/>
              </w:rPr>
              <w:t>May be identified before conversation</w:t>
            </w:r>
          </w:p>
          <w:p w14:paraId="275DEBEA" w14:textId="77777777" w:rsidR="005D5719" w:rsidRDefault="005D5719" w:rsidP="005D57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Restate, clarify and refine topic</w:t>
            </w:r>
          </w:p>
          <w:p w14:paraId="5930292D" w14:textId="77777777" w:rsidR="005D5719" w:rsidRPr="00A6277A" w:rsidRDefault="005D5719" w:rsidP="005D571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Common purposes may be planning, reflecting and/or problem-solving (Lipton &amp; Wellman, 2003)</w:t>
            </w:r>
          </w:p>
        </w:tc>
        <w:tc>
          <w:tcPr>
            <w:tcW w:w="5958" w:type="dxa"/>
            <w:vAlign w:val="center"/>
          </w:tcPr>
          <w:p w14:paraId="27A893E4" w14:textId="77777777" w:rsidR="005D5719" w:rsidRDefault="005D5719" w:rsidP="005D5719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093E64ED" w14:textId="77777777" w:rsidR="005D5719" w:rsidRDefault="005D5719" w:rsidP="005D5719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39B29C6F" w14:textId="77777777" w:rsidR="005D5719" w:rsidRDefault="005D5719" w:rsidP="005D5719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14281AFB" w14:textId="77777777" w:rsidR="005D5719" w:rsidRDefault="005D5719" w:rsidP="005D5719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619FBBB0" w14:textId="77777777" w:rsidR="005D5719" w:rsidRPr="000A1993" w:rsidRDefault="005D5719" w:rsidP="005D5719">
            <w:pPr>
              <w:pStyle w:val="ListParagraph"/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5D5719" w14:paraId="32A13795" w14:textId="77777777" w:rsidTr="005D5719">
        <w:trPr>
          <w:trHeight w:val="310"/>
        </w:trPr>
        <w:tc>
          <w:tcPr>
            <w:tcW w:w="2137" w:type="dxa"/>
            <w:vAlign w:val="center"/>
          </w:tcPr>
          <w:p w14:paraId="687DB0BB" w14:textId="77777777" w:rsidR="005D5719" w:rsidRDefault="005D5719" w:rsidP="005D57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 rapport</w:t>
            </w:r>
          </w:p>
        </w:tc>
        <w:tc>
          <w:tcPr>
            <w:tcW w:w="6320" w:type="dxa"/>
            <w:vAlign w:val="bottom"/>
          </w:tcPr>
          <w:p w14:paraId="38F1EE0B" w14:textId="77777777" w:rsidR="005D5719" w:rsidRDefault="005D5719" w:rsidP="005D571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Put personal mindset aside</w:t>
            </w:r>
          </w:p>
          <w:p w14:paraId="3445FC5B" w14:textId="77777777" w:rsidR="005D5719" w:rsidRPr="0035187D" w:rsidRDefault="005D5719" w:rsidP="005D571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35187D">
              <w:rPr>
                <w:rFonts w:ascii="Century Gothic" w:hAnsi="Century Gothic"/>
              </w:rPr>
              <w:t>Identify, empathize with &amp; validate emotions and perceptions</w:t>
            </w:r>
          </w:p>
          <w:p w14:paraId="7BEEF929" w14:textId="77777777" w:rsidR="005D5719" w:rsidRDefault="005D5719" w:rsidP="005D571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trust building behaviors (Covey, 2006)</w:t>
            </w:r>
          </w:p>
          <w:p w14:paraId="19D98C63" w14:textId="77777777" w:rsidR="005D5719" w:rsidRDefault="005D5719" w:rsidP="005D571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Respond to nonverbal cues</w:t>
            </w:r>
          </w:p>
          <w:p w14:paraId="49EB7A6C" w14:textId="77777777" w:rsidR="005D5719" w:rsidRDefault="005D5719" w:rsidP="005D571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Practice committed listening (</w:t>
            </w:r>
            <w:proofErr w:type="spellStart"/>
            <w:r>
              <w:rPr>
                <w:rFonts w:ascii="Century Gothic" w:hAnsi="Century Gothic"/>
              </w:rPr>
              <w:t>Cheliotes</w:t>
            </w:r>
            <w:proofErr w:type="spellEnd"/>
            <w:r>
              <w:rPr>
                <w:rFonts w:ascii="Century Gothic" w:hAnsi="Century Gothic"/>
              </w:rPr>
              <w:t xml:space="preserve"> &amp; Reilly, 2018)</w:t>
            </w:r>
          </w:p>
          <w:p w14:paraId="69C44D82" w14:textId="77777777" w:rsidR="005D5719" w:rsidRPr="005D5719" w:rsidRDefault="005D5719" w:rsidP="005D571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Demonstrate powerful speaking (</w:t>
            </w:r>
            <w:proofErr w:type="spellStart"/>
            <w:r>
              <w:rPr>
                <w:rFonts w:ascii="Century Gothic" w:hAnsi="Century Gothic"/>
              </w:rPr>
              <w:t>Cheliotes</w:t>
            </w:r>
            <w:proofErr w:type="spellEnd"/>
            <w:r>
              <w:rPr>
                <w:rFonts w:ascii="Century Gothic" w:hAnsi="Century Gothic"/>
              </w:rPr>
              <w:t xml:space="preserve"> &amp; Reilly, 2018)</w:t>
            </w:r>
          </w:p>
        </w:tc>
        <w:tc>
          <w:tcPr>
            <w:tcW w:w="5958" w:type="dxa"/>
            <w:vAlign w:val="center"/>
          </w:tcPr>
          <w:p w14:paraId="2ADE70FC" w14:textId="77777777" w:rsidR="005D5719" w:rsidRDefault="005D5719" w:rsidP="005D5719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5D5719" w14:paraId="78E3D208" w14:textId="77777777" w:rsidTr="005D5719">
        <w:trPr>
          <w:trHeight w:val="295"/>
        </w:trPr>
        <w:tc>
          <w:tcPr>
            <w:tcW w:w="2137" w:type="dxa"/>
            <w:vAlign w:val="center"/>
          </w:tcPr>
          <w:p w14:paraId="6DDE2645" w14:textId="77777777" w:rsidR="005D5719" w:rsidRDefault="005D5719" w:rsidP="005D57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Set goal</w:t>
            </w:r>
          </w:p>
        </w:tc>
        <w:tc>
          <w:tcPr>
            <w:tcW w:w="6320" w:type="dxa"/>
            <w:vAlign w:val="center"/>
          </w:tcPr>
          <w:p w14:paraId="7E6F086B" w14:textId="77777777" w:rsidR="005D5719" w:rsidRPr="00A6277A" w:rsidRDefault="005D5719" w:rsidP="005D571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6277A">
              <w:rPr>
                <w:rFonts w:ascii="Century Gothic" w:hAnsi="Century Gothic"/>
              </w:rPr>
              <w:t>Consider outcomes</w:t>
            </w:r>
          </w:p>
          <w:p w14:paraId="04A2EBAF" w14:textId="77777777" w:rsidR="005D5719" w:rsidRPr="00A6277A" w:rsidRDefault="005D5719" w:rsidP="005D571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6277A">
              <w:rPr>
                <w:rFonts w:ascii="Century Gothic" w:hAnsi="Century Gothic"/>
              </w:rPr>
              <w:t xml:space="preserve">Discuss indicators of success </w:t>
            </w:r>
          </w:p>
          <w:p w14:paraId="793840F5" w14:textId="77777777" w:rsidR="005D5719" w:rsidRPr="00A6277A" w:rsidRDefault="005D5719" w:rsidP="005D571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6277A">
              <w:rPr>
                <w:rFonts w:ascii="Century Gothic" w:hAnsi="Century Gothic"/>
              </w:rPr>
              <w:t>Gather, review, and analyze data</w:t>
            </w:r>
          </w:p>
          <w:p w14:paraId="7E20F388" w14:textId="77777777" w:rsidR="005D5719" w:rsidRPr="00A6277A" w:rsidRDefault="005D5719" w:rsidP="005D571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6277A">
              <w:rPr>
                <w:rFonts w:ascii="Century Gothic" w:hAnsi="Century Gothic"/>
              </w:rPr>
              <w:t>Reframe when needed</w:t>
            </w:r>
          </w:p>
        </w:tc>
        <w:tc>
          <w:tcPr>
            <w:tcW w:w="5958" w:type="dxa"/>
            <w:vAlign w:val="center"/>
          </w:tcPr>
          <w:p w14:paraId="512BA469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124F41AA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0596D15B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05EA4530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076CED9A" w14:textId="77777777" w:rsidR="005D5719" w:rsidRDefault="005D5719" w:rsidP="005D5719">
            <w:pPr>
              <w:rPr>
                <w:rFonts w:ascii="Century Gothic" w:hAnsi="Century Gothic"/>
              </w:rPr>
            </w:pPr>
          </w:p>
        </w:tc>
      </w:tr>
      <w:tr w:rsidR="005D5719" w14:paraId="2B816349" w14:textId="77777777" w:rsidTr="005D5719">
        <w:trPr>
          <w:trHeight w:val="408"/>
        </w:trPr>
        <w:tc>
          <w:tcPr>
            <w:tcW w:w="2137" w:type="dxa"/>
            <w:vAlign w:val="center"/>
          </w:tcPr>
          <w:p w14:paraId="56FD79BC" w14:textId="77777777" w:rsidR="005D5719" w:rsidRDefault="005D5719" w:rsidP="005D57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Create plan</w:t>
            </w:r>
          </w:p>
        </w:tc>
        <w:tc>
          <w:tcPr>
            <w:tcW w:w="6320" w:type="dxa"/>
            <w:vAlign w:val="center"/>
          </w:tcPr>
          <w:p w14:paraId="553412D0" w14:textId="77777777" w:rsidR="005D5719" w:rsidRPr="00A6277A" w:rsidRDefault="005D5719" w:rsidP="005D571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A6277A">
              <w:rPr>
                <w:rFonts w:ascii="Century Gothic" w:hAnsi="Century Gothic"/>
              </w:rPr>
              <w:t>Brainstorm and examine</w:t>
            </w:r>
          </w:p>
          <w:p w14:paraId="49C29685" w14:textId="77777777" w:rsidR="005D5719" w:rsidRPr="00A6277A" w:rsidRDefault="005D5719" w:rsidP="005D571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A6277A">
              <w:rPr>
                <w:rFonts w:ascii="Century Gothic" w:hAnsi="Century Gothic"/>
              </w:rPr>
              <w:t>Identify, assess, and compare factors relating to outcomes</w:t>
            </w:r>
          </w:p>
          <w:p w14:paraId="491547CE" w14:textId="77777777" w:rsidR="005D5719" w:rsidRPr="00A6277A" w:rsidRDefault="005D5719" w:rsidP="005D571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A6277A">
              <w:rPr>
                <w:rFonts w:ascii="Century Gothic" w:hAnsi="Century Gothic"/>
              </w:rPr>
              <w:t>Outline sequence and plan of action</w:t>
            </w:r>
          </w:p>
          <w:p w14:paraId="50707B5B" w14:textId="77777777" w:rsidR="005D5719" w:rsidRPr="00A6277A" w:rsidRDefault="005D5719" w:rsidP="005D571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A6277A">
              <w:rPr>
                <w:rFonts w:ascii="Century Gothic" w:hAnsi="Century Gothic"/>
              </w:rPr>
              <w:t>Highlight opportunities to build capacity</w:t>
            </w:r>
          </w:p>
        </w:tc>
        <w:tc>
          <w:tcPr>
            <w:tcW w:w="5958" w:type="dxa"/>
            <w:vAlign w:val="center"/>
          </w:tcPr>
          <w:p w14:paraId="063943E1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5DEDBED7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04BF2F7A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358D07FB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7E77E58C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58AE22FF" w14:textId="77777777" w:rsidR="005D5719" w:rsidRDefault="005D5719" w:rsidP="005D5719">
            <w:pPr>
              <w:rPr>
                <w:rFonts w:ascii="Century Gothic" w:hAnsi="Century Gothic"/>
              </w:rPr>
            </w:pPr>
          </w:p>
        </w:tc>
      </w:tr>
      <w:tr w:rsidR="005D5719" w14:paraId="71D1F509" w14:textId="77777777" w:rsidTr="005D5719">
        <w:trPr>
          <w:trHeight w:val="408"/>
        </w:trPr>
        <w:tc>
          <w:tcPr>
            <w:tcW w:w="2137" w:type="dxa"/>
            <w:vAlign w:val="center"/>
          </w:tcPr>
          <w:p w14:paraId="1DCAA869" w14:textId="77777777" w:rsidR="005D5719" w:rsidRDefault="005D5719" w:rsidP="005D571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Analyze &amp; reflect</w:t>
            </w:r>
          </w:p>
        </w:tc>
        <w:tc>
          <w:tcPr>
            <w:tcW w:w="6320" w:type="dxa"/>
            <w:vAlign w:val="center"/>
          </w:tcPr>
          <w:p w14:paraId="02AB832A" w14:textId="77777777" w:rsidR="005D5719" w:rsidRPr="00A6277A" w:rsidRDefault="005D5719" w:rsidP="005D571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A6277A">
              <w:rPr>
                <w:rFonts w:ascii="Century Gothic" w:hAnsi="Century Gothic"/>
              </w:rPr>
              <w:t>Reflect on change in feelings and perceptions</w:t>
            </w:r>
          </w:p>
          <w:p w14:paraId="08D38C85" w14:textId="77777777" w:rsidR="005D5719" w:rsidRPr="00A6277A" w:rsidRDefault="005D5719" w:rsidP="005D571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A6277A">
              <w:rPr>
                <w:rFonts w:ascii="Century Gothic" w:hAnsi="Century Gothic"/>
              </w:rPr>
              <w:t>Discuss effectiveness of conversation structure</w:t>
            </w:r>
          </w:p>
        </w:tc>
        <w:tc>
          <w:tcPr>
            <w:tcW w:w="5958" w:type="dxa"/>
            <w:vAlign w:val="center"/>
          </w:tcPr>
          <w:p w14:paraId="36C28EE1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60F01FEC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77059B9D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2D2FD20B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1E99BB27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0AAD81C4" w14:textId="77777777" w:rsidR="005D5719" w:rsidRDefault="005D5719" w:rsidP="005D5719">
            <w:pPr>
              <w:rPr>
                <w:rFonts w:ascii="Century Gothic" w:hAnsi="Century Gothic"/>
              </w:rPr>
            </w:pPr>
          </w:p>
          <w:p w14:paraId="3D57F154" w14:textId="77777777" w:rsidR="005D5719" w:rsidRDefault="005D5719" w:rsidP="005D5719">
            <w:pPr>
              <w:rPr>
                <w:rFonts w:ascii="Century Gothic" w:hAnsi="Century Gothic"/>
              </w:rPr>
            </w:pPr>
          </w:p>
        </w:tc>
      </w:tr>
    </w:tbl>
    <w:p w14:paraId="1EB24C17" w14:textId="77777777" w:rsidR="0017015B" w:rsidRPr="000A1993" w:rsidRDefault="000D403C">
      <w:pPr>
        <w:rPr>
          <w:rFonts w:ascii="Century Gothic" w:hAnsi="Century Gothic"/>
        </w:rPr>
      </w:pPr>
    </w:p>
    <w:sectPr w:rsidR="0017015B" w:rsidRPr="000A1993" w:rsidSect="000A19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2751"/>
    <w:multiLevelType w:val="hybridMultilevel"/>
    <w:tmpl w:val="87068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D20D7"/>
    <w:multiLevelType w:val="hybridMultilevel"/>
    <w:tmpl w:val="3306B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97A93"/>
    <w:multiLevelType w:val="hybridMultilevel"/>
    <w:tmpl w:val="7E8675D2"/>
    <w:lvl w:ilvl="0" w:tplc="59E29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0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82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163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8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85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A1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6E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0C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E656F20"/>
    <w:multiLevelType w:val="hybridMultilevel"/>
    <w:tmpl w:val="FBCC4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9E2FC2"/>
    <w:multiLevelType w:val="hybridMultilevel"/>
    <w:tmpl w:val="A2ECAA10"/>
    <w:lvl w:ilvl="0" w:tplc="9CB085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00BF7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258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C43C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83D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14AA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409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6C78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306F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E243E"/>
    <w:multiLevelType w:val="hybridMultilevel"/>
    <w:tmpl w:val="41F01AC6"/>
    <w:lvl w:ilvl="0" w:tplc="85164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CD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0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45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6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08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AE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E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A65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22D70A0"/>
    <w:multiLevelType w:val="hybridMultilevel"/>
    <w:tmpl w:val="DC82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93"/>
    <w:rsid w:val="000A1993"/>
    <w:rsid w:val="000D403C"/>
    <w:rsid w:val="0029333D"/>
    <w:rsid w:val="00330112"/>
    <w:rsid w:val="0035187D"/>
    <w:rsid w:val="005D5719"/>
    <w:rsid w:val="00A6277A"/>
    <w:rsid w:val="00B44F0C"/>
    <w:rsid w:val="00DE56FA"/>
    <w:rsid w:val="00F55DE7"/>
    <w:rsid w:val="00F9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647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3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6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7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2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2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8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72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0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Ferguson</dc:creator>
  <cp:keywords/>
  <dc:description/>
  <cp:lastModifiedBy>Gail Ferguson</cp:lastModifiedBy>
  <cp:revision>2</cp:revision>
  <cp:lastPrinted>2020-01-20T21:26:00Z</cp:lastPrinted>
  <dcterms:created xsi:type="dcterms:W3CDTF">2020-01-20T21:28:00Z</dcterms:created>
  <dcterms:modified xsi:type="dcterms:W3CDTF">2020-01-20T21:28:00Z</dcterms:modified>
</cp:coreProperties>
</file>